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E9" w:rsidRPr="00E53F2F" w:rsidRDefault="00E06244">
      <w:pPr>
        <w:widowControl/>
        <w:overflowPunct w:val="0"/>
        <w:spacing w:beforeAutospacing="1" w:afterAutospacing="1" w:line="240" w:lineRule="auto"/>
        <w:ind w:firstLine="0"/>
        <w:jc w:val="center"/>
        <w:outlineLvl w:val="0"/>
        <w:rPr>
          <w:rFonts w:ascii="Times New Roman" w:hAnsi="Times New Roman" w:cs="Times New Roman"/>
        </w:rPr>
      </w:pPr>
      <w:r w:rsidRPr="00E53F2F">
        <w:rPr>
          <w:rFonts w:ascii="Times New Roman" w:hAnsi="Times New Roman" w:cs="Times New Roman"/>
          <w:b/>
          <w:bCs/>
          <w:color w:val="00000A"/>
          <w:sz w:val="48"/>
          <w:szCs w:val="48"/>
          <w:lang w:eastAsia="cs-CZ"/>
        </w:rPr>
        <w:t>Informace a odpovědi na dotazy ze Sociáln</w:t>
      </w:r>
      <w:r w:rsidR="004D1C77" w:rsidRPr="00E53F2F">
        <w:rPr>
          <w:rFonts w:ascii="Times New Roman" w:hAnsi="Times New Roman" w:cs="Times New Roman"/>
          <w:b/>
          <w:bCs/>
          <w:color w:val="00000A"/>
          <w:sz w:val="48"/>
          <w:szCs w:val="48"/>
          <w:lang w:eastAsia="cs-CZ"/>
        </w:rPr>
        <w:t xml:space="preserve">ě právní poradny SONS v Praze </w:t>
      </w:r>
      <w:r w:rsidR="007E5AFC">
        <w:rPr>
          <w:rFonts w:ascii="Times New Roman" w:hAnsi="Times New Roman" w:cs="Times New Roman"/>
          <w:b/>
          <w:bCs/>
          <w:color w:val="00000A"/>
          <w:sz w:val="48"/>
          <w:szCs w:val="48"/>
          <w:lang w:eastAsia="cs-CZ"/>
        </w:rPr>
        <w:t>10</w:t>
      </w:r>
      <w:r w:rsidR="005546C1" w:rsidRPr="00E53F2F">
        <w:rPr>
          <w:rFonts w:ascii="Times New Roman" w:hAnsi="Times New Roman" w:cs="Times New Roman"/>
          <w:b/>
          <w:bCs/>
          <w:color w:val="00000A"/>
          <w:sz w:val="48"/>
          <w:szCs w:val="48"/>
          <w:lang w:eastAsia="cs-CZ"/>
        </w:rPr>
        <w:t>/20</w:t>
      </w:r>
      <w:r w:rsidR="00982F2F">
        <w:rPr>
          <w:rFonts w:ascii="Times New Roman" w:hAnsi="Times New Roman" w:cs="Times New Roman"/>
          <w:b/>
          <w:bCs/>
          <w:color w:val="00000A"/>
          <w:sz w:val="48"/>
          <w:szCs w:val="48"/>
          <w:lang w:eastAsia="cs-CZ"/>
        </w:rPr>
        <w:t>20</w:t>
      </w:r>
    </w:p>
    <w:p w:rsidR="00B10EE1" w:rsidRDefault="007E5AFC" w:rsidP="00EC0824">
      <w:pPr>
        <w:widowControl/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7E5AFC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Dnešní poradenský článek </w:t>
      </w:r>
      <w:proofErr w:type="gramStart"/>
      <w:r w:rsidRPr="007E5AFC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pochází</w:t>
      </w:r>
      <w:proofErr w:type="gramEnd"/>
      <w:r w:rsidRPr="007E5AFC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z klávesnice kolegyně JUDr. Václavy </w:t>
      </w:r>
      <w:proofErr w:type="spellStart"/>
      <w:r w:rsidRPr="007E5AFC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Baudišové</w:t>
      </w:r>
      <w:proofErr w:type="spellEnd"/>
      <w:r w:rsidRPr="007E5AFC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a jeho název zní: REALITNÍ OKÉNKO. V rámci „okénka“ se dozvíte o</w:t>
      </w:r>
    </w:p>
    <w:p w:rsidR="007E5AFC" w:rsidRPr="007E5AFC" w:rsidRDefault="00AB6F5F" w:rsidP="004E21D0">
      <w:pPr>
        <w:pStyle w:val="Odstavecseseznamem"/>
        <w:widowControl/>
        <w:numPr>
          <w:ilvl w:val="0"/>
          <w:numId w:val="1"/>
        </w:numPr>
        <w:overflowPunct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hyperlink w:anchor="Zruseni_dane_z_nabyti_nemovitosti" w:history="1">
        <w:r w:rsidR="007E5AFC" w:rsidRPr="00AB6F5F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zrušení daně z nabytí nemovitosti</w:t>
        </w:r>
      </w:hyperlink>
      <w:r w:rsidR="007E5AFC" w:rsidRPr="007E5AFC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, </w:t>
      </w:r>
    </w:p>
    <w:p w:rsidR="007E5AFC" w:rsidRPr="007E5AFC" w:rsidRDefault="00AB6F5F" w:rsidP="004E21D0">
      <w:pPr>
        <w:pStyle w:val="Odstavecseseznamem"/>
        <w:widowControl/>
        <w:numPr>
          <w:ilvl w:val="0"/>
          <w:numId w:val="1"/>
        </w:numPr>
        <w:overflowPunct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hyperlink w:anchor="Novy_zakon_o_realitnim_zprostredkovani" w:history="1">
        <w:r w:rsidR="007E5AFC" w:rsidRPr="00AB6F5F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zákonu o realitním zprostředkování</w:t>
        </w:r>
      </w:hyperlink>
      <w:r w:rsidR="007E5AFC" w:rsidRPr="007E5AFC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, </w:t>
      </w:r>
    </w:p>
    <w:p w:rsidR="007E5AFC" w:rsidRPr="007E5AFC" w:rsidRDefault="00AB6F5F" w:rsidP="004E21D0">
      <w:pPr>
        <w:pStyle w:val="Odstavecseseznamem"/>
        <w:widowControl/>
        <w:numPr>
          <w:ilvl w:val="0"/>
          <w:numId w:val="1"/>
        </w:numPr>
        <w:overflowPunct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hyperlink w:anchor="Jak_cist_vypis_z_katastru_nemovitosti" w:history="1">
        <w:r w:rsidR="007E5AFC" w:rsidRPr="00AB6F5F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struktuře a obsahu výpisu z katastru nemovitostí</w:t>
        </w:r>
      </w:hyperlink>
      <w:r w:rsidR="007E5AFC" w:rsidRPr="007E5AFC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.</w:t>
      </w:r>
    </w:p>
    <w:p w:rsidR="00450875" w:rsidRDefault="007E5AFC" w:rsidP="00065A45">
      <w:pPr>
        <w:widowControl/>
        <w:overflowPunct w:val="0"/>
        <w:spacing w:before="100" w:beforeAutospacing="1" w:line="240" w:lineRule="auto"/>
        <w:ind w:firstLine="0"/>
        <w:rPr>
          <w:rFonts w:ascii="Times New Roman" w:hAnsi="Times New Roman" w:cs="Times New Roman"/>
          <w:b/>
          <w:bCs/>
          <w:color w:val="00000A"/>
          <w:sz w:val="36"/>
          <w:szCs w:val="36"/>
          <w:lang w:eastAsia="cs-CZ"/>
        </w:rPr>
      </w:pPr>
      <w:bookmarkStart w:id="0" w:name="Zruseni_dane_z_nabyti_nemovitosti"/>
      <w:r w:rsidRPr="007E5AFC">
        <w:rPr>
          <w:rFonts w:ascii="Times New Roman" w:hAnsi="Times New Roman" w:cs="Times New Roman"/>
          <w:b/>
          <w:bCs/>
          <w:color w:val="00000A"/>
          <w:sz w:val="36"/>
          <w:szCs w:val="36"/>
          <w:lang w:eastAsia="cs-CZ"/>
        </w:rPr>
        <w:t xml:space="preserve">Zrušení daně z nabytí nemovitosti </w:t>
      </w:r>
      <w:r w:rsidR="00450875" w:rsidRPr="00450875">
        <w:rPr>
          <w:rFonts w:ascii="Times New Roman" w:hAnsi="Times New Roman" w:cs="Times New Roman"/>
          <w:b/>
          <w:bCs/>
          <w:color w:val="00000A"/>
          <w:sz w:val="36"/>
          <w:szCs w:val="36"/>
          <w:lang w:eastAsia="cs-CZ"/>
        </w:rPr>
        <w:t xml:space="preserve"> </w:t>
      </w:r>
    </w:p>
    <w:bookmarkEnd w:id="0"/>
    <w:p w:rsidR="007E5AFC" w:rsidRPr="007E5AFC" w:rsidRDefault="007E5AFC" w:rsidP="007E5AFC">
      <w:pPr>
        <w:widowControl/>
        <w:overflowPunct w:val="0"/>
        <w:spacing w:before="100" w:before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7E5AFC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Vedle zrušení </w:t>
      </w:r>
      <w:proofErr w:type="spellStart"/>
      <w:r w:rsidRPr="007E5AFC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superhrubé</w:t>
      </w:r>
      <w:proofErr w:type="spellEnd"/>
      <w:r w:rsidRPr="007E5AFC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 mzdy, které ještě bude předmětem parlamentní diskuse, je zrušení daně z nabytí nemovitosti dalším opatřením, o kterém se stále mluvilo, ale fakticky se nic nedělo, až do událostí souvisejících s </w:t>
      </w:r>
      <w:proofErr w:type="spellStart"/>
      <w:r w:rsidRPr="007E5AFC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koronavirem</w:t>
      </w:r>
      <w:proofErr w:type="spellEnd"/>
      <w:r w:rsidRPr="007E5AFC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 xml:space="preserve">. Tato daň (dříve „daň z převodu nemovitosti“) u nás měla dlouholetou tradici a aktuálně činila 4 % z kupní ceny nemovitosti. Až v poslední fázi své existence byla přesunuta z prodávajícího na kupujícího.  Asi není třeba zdůrazňovat, že se tím kupujícím aspoň trochu finančně uleví a potěšující je i to, že odpadne papírování s daňovým přiznáním spojené. Daň nemusí platit ani ti kupující, kterým katastrální úřad povolil návrh na vklad vlastnického práva již v prosinci 2019 a později. </w:t>
      </w:r>
    </w:p>
    <w:p w:rsidR="00065A45" w:rsidRDefault="007E5AFC" w:rsidP="007E5AFC">
      <w:pPr>
        <w:widowControl/>
        <w:overflowPunct w:val="0"/>
        <w:spacing w:before="100" w:before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7E5AFC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Jen pro pořádek – daň z nemovitosti, tedy daň z vlastnictví nemovitosti, zrušena nebyla.</w:t>
      </w:r>
    </w:p>
    <w:p w:rsidR="007E5AFC" w:rsidRDefault="007E5AFC" w:rsidP="007E5AFC">
      <w:pPr>
        <w:widowControl/>
        <w:overflowPunct w:val="0"/>
        <w:spacing w:before="100" w:beforeAutospacing="1" w:line="240" w:lineRule="auto"/>
        <w:ind w:firstLine="0"/>
        <w:rPr>
          <w:rFonts w:ascii="Times New Roman" w:hAnsi="Times New Roman" w:cs="Times New Roman"/>
          <w:b/>
          <w:bCs/>
          <w:color w:val="00000A"/>
          <w:sz w:val="36"/>
          <w:szCs w:val="36"/>
          <w:lang w:eastAsia="cs-CZ"/>
        </w:rPr>
      </w:pPr>
      <w:bookmarkStart w:id="1" w:name="Novy_zakon_o_realitnim_zprostredkovani"/>
      <w:r w:rsidRPr="007E5AFC">
        <w:rPr>
          <w:rFonts w:ascii="Times New Roman" w:hAnsi="Times New Roman" w:cs="Times New Roman"/>
          <w:b/>
          <w:bCs/>
          <w:color w:val="00000A"/>
          <w:sz w:val="36"/>
          <w:szCs w:val="36"/>
          <w:lang w:eastAsia="cs-CZ"/>
        </w:rPr>
        <w:t>Nový zákon o realitním zprostředkování</w:t>
      </w:r>
      <w:bookmarkEnd w:id="1"/>
      <w:r w:rsidRPr="007E5AFC">
        <w:rPr>
          <w:rFonts w:ascii="Times New Roman" w:hAnsi="Times New Roman" w:cs="Times New Roman"/>
          <w:b/>
          <w:bCs/>
          <w:color w:val="00000A"/>
          <w:sz w:val="36"/>
          <w:szCs w:val="36"/>
          <w:lang w:eastAsia="cs-CZ"/>
        </w:rPr>
        <w:t xml:space="preserve"> </w:t>
      </w:r>
      <w:r w:rsidRPr="00450875">
        <w:rPr>
          <w:rFonts w:ascii="Times New Roman" w:hAnsi="Times New Roman" w:cs="Times New Roman"/>
          <w:b/>
          <w:bCs/>
          <w:color w:val="00000A"/>
          <w:sz w:val="36"/>
          <w:szCs w:val="36"/>
          <w:lang w:eastAsia="cs-CZ"/>
        </w:rPr>
        <w:t xml:space="preserve"> </w:t>
      </w:r>
    </w:p>
    <w:p w:rsidR="007E5AFC" w:rsidRPr="007E5AFC" w:rsidRDefault="007E5AFC" w:rsidP="007E5AFC">
      <w:pPr>
        <w:widowControl/>
        <w:overflowPunct w:val="0"/>
        <w:spacing w:before="100" w:before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7E5AFC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Další vítanou změnou v oblasti prodeje nemovitostí je přijetí zákona č. 39/2020 Sb. o realitním zprostředkování, upravujícího činnost realitních makléřů, slovy zákona „realitních zprostředkovatelů“. I když nadměrné státní regulaci všeho možného fandit nelze, zde je jednoznačně přínosem, protože zavádí:</w:t>
      </w:r>
    </w:p>
    <w:p w:rsidR="007E5AFC" w:rsidRPr="007E5AFC" w:rsidRDefault="007E5AFC" w:rsidP="004E21D0">
      <w:pPr>
        <w:pStyle w:val="Odstavecseseznamem"/>
        <w:widowControl/>
        <w:numPr>
          <w:ilvl w:val="0"/>
          <w:numId w:val="2"/>
        </w:numPr>
        <w:overflowPunct w:val="0"/>
        <w:spacing w:before="100" w:beforeAutospacing="1" w:line="240" w:lineRule="auto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7E5AFC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Povinnou změnu živnosti makléře z volné na vázanou,</w:t>
      </w:r>
    </w:p>
    <w:p w:rsidR="007E5AFC" w:rsidRPr="007E5AFC" w:rsidRDefault="007E5AFC" w:rsidP="004E21D0">
      <w:pPr>
        <w:pStyle w:val="Odstavecseseznamem"/>
        <w:widowControl/>
        <w:numPr>
          <w:ilvl w:val="0"/>
          <w:numId w:val="2"/>
        </w:numPr>
        <w:overflowPunct w:val="0"/>
        <w:spacing w:before="100" w:beforeAutospacing="1" w:line="240" w:lineRule="auto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7E5AFC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povinné kvalifikační předpoklady makléře, který musí být absolventem práv, ekonomie, stavebnictví, nebo jiné vysoké nebo střední školy a mít 3 roky praxe v oboru, nebo složit profesní zkoušku,</w:t>
      </w:r>
    </w:p>
    <w:p w:rsidR="007E5AFC" w:rsidRPr="007E5AFC" w:rsidRDefault="007E5AFC" w:rsidP="004E21D0">
      <w:pPr>
        <w:pStyle w:val="Odstavecseseznamem"/>
        <w:widowControl/>
        <w:numPr>
          <w:ilvl w:val="0"/>
          <w:numId w:val="2"/>
        </w:numPr>
        <w:overflowPunct w:val="0"/>
        <w:spacing w:before="100" w:beforeAutospacing="1" w:line="240" w:lineRule="auto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7E5AFC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povinné pojištění odpovědnosti makléře za škodu.</w:t>
      </w:r>
    </w:p>
    <w:p w:rsidR="007E5AFC" w:rsidRPr="007E5AFC" w:rsidRDefault="007E5AFC" w:rsidP="007E5AFC">
      <w:pPr>
        <w:widowControl/>
        <w:overflowPunct w:val="0"/>
        <w:spacing w:before="100" w:before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7E5AFC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Dále zákon stanoví, že:</w:t>
      </w:r>
    </w:p>
    <w:p w:rsidR="007E5AFC" w:rsidRPr="007E5AFC" w:rsidRDefault="007E5AFC" w:rsidP="004E21D0">
      <w:pPr>
        <w:pStyle w:val="Odstavecseseznamem"/>
        <w:widowControl/>
        <w:numPr>
          <w:ilvl w:val="0"/>
          <w:numId w:val="3"/>
        </w:numPr>
        <w:overflowPunct w:val="0"/>
        <w:spacing w:before="100" w:beforeAutospacing="1" w:line="240" w:lineRule="auto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7E5AFC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všechna ujednání s klientem, který je v postavení spotřebitele, musí být písemná (včetně převodů podílů v bytovém družstvu)</w:t>
      </w:r>
    </w:p>
    <w:p w:rsidR="007E5AFC" w:rsidRPr="007E5AFC" w:rsidRDefault="007E5AFC" w:rsidP="004E21D0">
      <w:pPr>
        <w:pStyle w:val="Odstavecseseznamem"/>
        <w:widowControl/>
        <w:numPr>
          <w:ilvl w:val="0"/>
          <w:numId w:val="3"/>
        </w:numPr>
        <w:overflowPunct w:val="0"/>
        <w:spacing w:before="100" w:beforeAutospacing="1" w:line="240" w:lineRule="auto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7E5AFC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makléř má informační povinnost o výši provize či o způsobu určení provize, o</w:t>
      </w:r>
      <w:r w:rsidR="004E21D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 </w:t>
      </w:r>
      <w:r w:rsidRPr="007E5AFC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konkrétních závadách či omezeních na nemovitosti, které plynou z veřejných databází a o těch, o nichž věděl nebo měl vědět vzhledem ke své odbornosti</w:t>
      </w:r>
    </w:p>
    <w:p w:rsidR="007E5AFC" w:rsidRPr="007E5AFC" w:rsidRDefault="007E5AFC" w:rsidP="004E21D0">
      <w:pPr>
        <w:pStyle w:val="Odstavecseseznamem"/>
        <w:widowControl/>
        <w:numPr>
          <w:ilvl w:val="0"/>
          <w:numId w:val="3"/>
        </w:numPr>
        <w:overflowPunct w:val="0"/>
        <w:spacing w:before="100" w:beforeAutospacing="1" w:line="240" w:lineRule="auto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7E5AFC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záloha na provizi nesmí být vyšší než 2/3 sjednané provize</w:t>
      </w:r>
    </w:p>
    <w:p w:rsidR="007E5AFC" w:rsidRPr="007E5AFC" w:rsidRDefault="007E5AFC" w:rsidP="004E21D0">
      <w:pPr>
        <w:pStyle w:val="Odstavecseseznamem"/>
        <w:widowControl/>
        <w:numPr>
          <w:ilvl w:val="0"/>
          <w:numId w:val="3"/>
        </w:numPr>
        <w:overflowPunct w:val="0"/>
        <w:spacing w:before="100" w:beforeAutospacing="1" w:line="240" w:lineRule="auto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7E5AFC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zprostředkovatelská smlouva s makléřem nemůže klienta zavázat k uzavření samotné kupní nebo nájemní smlouvy</w:t>
      </w:r>
    </w:p>
    <w:p w:rsidR="007E5AFC" w:rsidRPr="007E5AFC" w:rsidRDefault="007E5AFC" w:rsidP="004E21D0">
      <w:pPr>
        <w:pStyle w:val="Odstavecseseznamem"/>
        <w:widowControl/>
        <w:numPr>
          <w:ilvl w:val="0"/>
          <w:numId w:val="3"/>
        </w:numPr>
        <w:overflowPunct w:val="0"/>
        <w:spacing w:before="100" w:beforeAutospacing="1" w:line="240" w:lineRule="auto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7E5AFC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je-li tato smlouva uzavřena na dobu neurčitou, může být výpovědní doba maximálně 1</w:t>
      </w:r>
      <w:r w:rsidR="004E21D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 </w:t>
      </w:r>
      <w:r w:rsidRPr="007E5AFC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měsíc</w:t>
      </w:r>
    </w:p>
    <w:p w:rsidR="007E5AFC" w:rsidRPr="007E5AFC" w:rsidRDefault="007E5AFC" w:rsidP="004E21D0">
      <w:pPr>
        <w:pStyle w:val="Odstavecseseznamem"/>
        <w:widowControl/>
        <w:numPr>
          <w:ilvl w:val="0"/>
          <w:numId w:val="3"/>
        </w:numPr>
        <w:overflowPunct w:val="0"/>
        <w:spacing w:before="100" w:beforeAutospacing="1" w:line="240" w:lineRule="auto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7E5AFC">
        <w:rPr>
          <w:rFonts w:ascii="Times New Roman" w:hAnsi="Times New Roman" w:cs="Times New Roman"/>
          <w:color w:val="00000A"/>
          <w:sz w:val="24"/>
          <w:szCs w:val="24"/>
          <w:lang w:eastAsia="cs-CZ"/>
        </w:rPr>
        <w:lastRenderedPageBreak/>
        <w:t>exkluzivitu, tedy výhradní zprostředkování jediným makléřem, lze sjednat jen na dobu určitou, nejdéle však na šest měsíců; lze ji opakovaně prodlužovat, nejdříve však 30 dnů před uplynutím sjednané doby</w:t>
      </w:r>
    </w:p>
    <w:p w:rsidR="007E5AFC" w:rsidRPr="007E5AFC" w:rsidRDefault="007E5AFC" w:rsidP="004E21D0">
      <w:pPr>
        <w:pStyle w:val="Odstavecseseznamem"/>
        <w:widowControl/>
        <w:numPr>
          <w:ilvl w:val="0"/>
          <w:numId w:val="3"/>
        </w:numPr>
        <w:overflowPunct w:val="0"/>
        <w:spacing w:before="100" w:beforeAutospacing="1" w:line="240" w:lineRule="auto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7E5AFC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byla-li smlouva, k jejímuž uzavření se vztahoval vznik práva makléře na provizi, uzavřena z důvodu jeho nečinnosti, pochybení nebo neposkytnutí odpovídající součinnosti až po zániku závazku ze zprostředkovatelské smlouvy, nemá makléř právo požadovat po klientovi provizi.</w:t>
      </w:r>
    </w:p>
    <w:p w:rsidR="007E5AFC" w:rsidRDefault="007E5AFC" w:rsidP="007E5AFC">
      <w:pPr>
        <w:widowControl/>
        <w:overflowPunct w:val="0"/>
        <w:spacing w:before="100" w:before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7E5AFC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K poslednímu bodu je však třeba uvést, že podle § 2454 občanského zákoníku „právu zprostředkovatele na provizi není na újmu, byla-li smlouva, k níž se vztahovala činnost zprostředkovatele, uzavřena nebo splněna až po zániku závazku ze zprostředkovatelské smlouvy.“ Toto ustanovení naplňuje zásadu, podle níž smlouvy mají být plněny, a má zamezit vcelku běžné situaci, kdy makléř svoji činnost vykonává řádně. Inzeruje, komunikuje se zájemci, které seznámí s prodávajícím, jezdí s nimi na prohlídky, poskytuje právní a jiné služby atd. Účastníci smlouvy ovšem s cílem ušetřit na provizi vyčkají uplynutí doby, na kterou je sjednána zprostředkovatelská smlouva a kupní smlouvu potom spolu uzavřou na vlastní pěst. Předpokladem práva na provizi je tedy činnost zprostředkovatele vedoucí k uzavření smlouvy.</w:t>
      </w:r>
    </w:p>
    <w:p w:rsidR="0008480D" w:rsidRDefault="00A0667B" w:rsidP="00E91EF1">
      <w:pPr>
        <w:widowControl/>
        <w:tabs>
          <w:tab w:val="clear" w:pos="3401"/>
          <w:tab w:val="right" w:pos="9070"/>
        </w:tabs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b/>
          <w:bCs/>
          <w:color w:val="00000A"/>
          <w:sz w:val="36"/>
          <w:szCs w:val="36"/>
          <w:lang w:eastAsia="cs-CZ"/>
        </w:rPr>
      </w:pPr>
      <w:bookmarkStart w:id="2" w:name="Jak_cist_vypis_z_katastru_nemovitosti"/>
      <w:r w:rsidRPr="00A0667B">
        <w:rPr>
          <w:rFonts w:ascii="Times New Roman" w:hAnsi="Times New Roman" w:cs="Times New Roman"/>
          <w:b/>
          <w:bCs/>
          <w:color w:val="00000A"/>
          <w:sz w:val="36"/>
          <w:szCs w:val="36"/>
          <w:lang w:eastAsia="cs-CZ"/>
        </w:rPr>
        <w:t>Jak číst výpis z katastru nemovitostí</w:t>
      </w:r>
      <w:bookmarkEnd w:id="2"/>
    </w:p>
    <w:p w:rsidR="00A0667B" w:rsidRPr="00A0667B" w:rsidRDefault="00A0667B" w:rsidP="00A0667B">
      <w:pPr>
        <w:widowControl/>
        <w:tabs>
          <w:tab w:val="clear" w:pos="3401"/>
          <w:tab w:val="right" w:pos="9070"/>
        </w:tabs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A0667B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Výpis z katastru nemovitostí (KN) je přístupný přes internet na stránkách katastrálního úřadu www.cuzk.cz  v papírové oficiální „úřední“ podobě ho získáte také na katastrálním úřadu nebo na kontaktních místech Czech POINT. Internetový výpis má pouze informativní charakter a</w:t>
      </w:r>
      <w:r w:rsidR="004E21D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 </w:t>
      </w:r>
      <w:bookmarkStart w:id="3" w:name="_GoBack"/>
      <w:bookmarkEnd w:id="3"/>
      <w:r w:rsidRPr="00A0667B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neobsahuje některé detailní informace, zatímco u úředního výpisu platí předpoklad správnosti zapsaných údajů a najdete zde nejen základní informace k nemovitosti, ale i odkaz na listinu, na základě které vlastník nemovitost nabyl, tzv. nabývací titul.</w:t>
      </w:r>
    </w:p>
    <w:p w:rsidR="00A0667B" w:rsidRPr="00A0667B" w:rsidRDefault="00A0667B" w:rsidP="00A0667B">
      <w:pPr>
        <w:widowControl/>
        <w:tabs>
          <w:tab w:val="clear" w:pos="3401"/>
          <w:tab w:val="right" w:pos="9070"/>
        </w:tabs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A0667B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U bytů jsou vedeny dva listy vlastnictví: jeden na budovu a druhý na konkrétní byt. U rodinných domů mají být v listu vlastnictví zapsány všechny nemovitosti v souladu se skutečným stavem – jednak zastavěná plocha, na které stojí dům, jednak další vlastníkovy pozemky, například ostatní plocha, zahrada, sad atd. Je-li zapsaný stav v rozporu se skutečným stavem, je třeba před prodejem rozpory odstranit – například stavby zaměřit a zapsat nebo zbourat a vymazat.</w:t>
      </w:r>
    </w:p>
    <w:p w:rsidR="00A0667B" w:rsidRPr="00A0667B" w:rsidRDefault="00A0667B" w:rsidP="00A0667B">
      <w:pPr>
        <w:widowControl/>
        <w:tabs>
          <w:tab w:val="clear" w:pos="3401"/>
          <w:tab w:val="right" w:pos="9070"/>
        </w:tabs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A0667B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Výpis z KN je datovaný k určitému dni a času. Zápisy o nemovitosti se totiž samozřejmě mohou v čase měnit. Hned v záhlaví výpisu je dále uvedeno umístění nemovitosti: okres, obec, katastrální území a číslo listu vlastnictví. Samotný výpis se pak skládá z několika částí od A do F, obsahujících tyto údaje:</w:t>
      </w:r>
    </w:p>
    <w:p w:rsidR="00A0667B" w:rsidRPr="00A0667B" w:rsidRDefault="00A0667B" w:rsidP="00A0667B">
      <w:pPr>
        <w:widowControl/>
        <w:tabs>
          <w:tab w:val="clear" w:pos="3401"/>
          <w:tab w:val="right" w:pos="9070"/>
        </w:tabs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b/>
          <w:color w:val="00000A"/>
          <w:sz w:val="24"/>
          <w:szCs w:val="24"/>
          <w:lang w:eastAsia="cs-CZ"/>
        </w:rPr>
      </w:pPr>
      <w:r w:rsidRPr="00A0667B">
        <w:rPr>
          <w:rFonts w:ascii="Times New Roman" w:hAnsi="Times New Roman" w:cs="Times New Roman"/>
          <w:b/>
          <w:color w:val="00000A"/>
          <w:sz w:val="24"/>
          <w:szCs w:val="24"/>
          <w:lang w:eastAsia="cs-CZ"/>
        </w:rPr>
        <w:t>A) Vlastník nemovitosti</w:t>
      </w:r>
    </w:p>
    <w:p w:rsidR="00A0667B" w:rsidRPr="00A0667B" w:rsidRDefault="00A0667B" w:rsidP="00A0667B">
      <w:pPr>
        <w:widowControl/>
        <w:tabs>
          <w:tab w:val="clear" w:pos="3401"/>
          <w:tab w:val="right" w:pos="9070"/>
        </w:tabs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A0667B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Zde jsou uvedeni všichni vlastníci dané nemovitosti. Pokud je před jmény uvedeno „SJM“, znamená to, že se jedná o nemovitost ve společném jmění manželů. U více spoluvlastníků je zde zlomkem uveden spoluvlastnický podíl na nemovitosti.</w:t>
      </w:r>
    </w:p>
    <w:p w:rsidR="00A0667B" w:rsidRPr="00A0667B" w:rsidRDefault="00A0667B" w:rsidP="00A0667B">
      <w:pPr>
        <w:widowControl/>
        <w:tabs>
          <w:tab w:val="clear" w:pos="3401"/>
          <w:tab w:val="right" w:pos="9070"/>
        </w:tabs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b/>
          <w:color w:val="00000A"/>
          <w:sz w:val="24"/>
          <w:szCs w:val="24"/>
          <w:lang w:eastAsia="cs-CZ"/>
        </w:rPr>
      </w:pPr>
      <w:r w:rsidRPr="00A0667B">
        <w:rPr>
          <w:rFonts w:ascii="Times New Roman" w:hAnsi="Times New Roman" w:cs="Times New Roman"/>
          <w:b/>
          <w:color w:val="00000A"/>
          <w:sz w:val="24"/>
          <w:szCs w:val="24"/>
          <w:lang w:eastAsia="cs-CZ"/>
        </w:rPr>
        <w:t>B) Nemovitost</w:t>
      </w:r>
    </w:p>
    <w:p w:rsidR="00A0667B" w:rsidRDefault="00A0667B" w:rsidP="00A0667B">
      <w:pPr>
        <w:widowControl/>
        <w:tabs>
          <w:tab w:val="clear" w:pos="3401"/>
          <w:tab w:val="right" w:pos="9070"/>
        </w:tabs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A0667B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Zde je popsána nemovitost - stavba s číslem popisným nebo evidenčním zpravidla u rekreačních objektů, parcelní čísla pozemků, jejich výměra, druh pozemku, včetně případných podílů na společných částech nemovitostí.</w:t>
      </w:r>
    </w:p>
    <w:p w:rsidR="00A0667B" w:rsidRPr="00A0667B" w:rsidRDefault="00A0667B" w:rsidP="00A0667B">
      <w:pPr>
        <w:widowControl/>
        <w:tabs>
          <w:tab w:val="clear" w:pos="3401"/>
          <w:tab w:val="right" w:pos="9070"/>
        </w:tabs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</w:p>
    <w:p w:rsidR="00A0667B" w:rsidRPr="00A0667B" w:rsidRDefault="00A0667B" w:rsidP="00A0667B">
      <w:pPr>
        <w:widowControl/>
        <w:tabs>
          <w:tab w:val="clear" w:pos="3401"/>
          <w:tab w:val="right" w:pos="9070"/>
        </w:tabs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b/>
          <w:color w:val="00000A"/>
          <w:sz w:val="24"/>
          <w:szCs w:val="24"/>
          <w:lang w:eastAsia="cs-CZ"/>
        </w:rPr>
      </w:pPr>
      <w:r w:rsidRPr="00A0667B">
        <w:rPr>
          <w:rFonts w:ascii="Times New Roman" w:hAnsi="Times New Roman" w:cs="Times New Roman"/>
          <w:b/>
          <w:color w:val="00000A"/>
          <w:sz w:val="24"/>
          <w:szCs w:val="24"/>
          <w:lang w:eastAsia="cs-CZ"/>
        </w:rPr>
        <w:lastRenderedPageBreak/>
        <w:t>B1) Věcná práva sloužící ve prospěch nemovitosti</w:t>
      </w:r>
    </w:p>
    <w:p w:rsidR="00A0667B" w:rsidRPr="00A0667B" w:rsidRDefault="00A0667B" w:rsidP="00A0667B">
      <w:pPr>
        <w:widowControl/>
        <w:tabs>
          <w:tab w:val="clear" w:pos="3401"/>
          <w:tab w:val="right" w:pos="9070"/>
        </w:tabs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A0667B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Zde jsou uvedeny informace o tom, co se vztahuje k této nemovitosti v její prospěch, například právo vjezdu či přístupu.</w:t>
      </w:r>
    </w:p>
    <w:p w:rsidR="00A0667B" w:rsidRPr="00A0667B" w:rsidRDefault="00A0667B" w:rsidP="00A0667B">
      <w:pPr>
        <w:widowControl/>
        <w:tabs>
          <w:tab w:val="clear" w:pos="3401"/>
          <w:tab w:val="right" w:pos="9070"/>
        </w:tabs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b/>
          <w:color w:val="00000A"/>
          <w:sz w:val="24"/>
          <w:szCs w:val="24"/>
          <w:lang w:eastAsia="cs-CZ"/>
        </w:rPr>
      </w:pPr>
      <w:r w:rsidRPr="00A0667B">
        <w:rPr>
          <w:rFonts w:ascii="Times New Roman" w:hAnsi="Times New Roman" w:cs="Times New Roman"/>
          <w:b/>
          <w:color w:val="00000A"/>
          <w:sz w:val="24"/>
          <w:szCs w:val="24"/>
          <w:lang w:eastAsia="cs-CZ"/>
        </w:rPr>
        <w:t>C) Věcná práva zatěžující nemovitost</w:t>
      </w:r>
    </w:p>
    <w:p w:rsidR="00A0667B" w:rsidRPr="00A0667B" w:rsidRDefault="00A0667B" w:rsidP="00A0667B">
      <w:pPr>
        <w:widowControl/>
        <w:tabs>
          <w:tab w:val="clear" w:pos="3401"/>
          <w:tab w:val="right" w:pos="9070"/>
        </w:tabs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A0667B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Zde jsou veškeré zástavy, věcná práva dožití, služebnosti a věcná břemena - například povinnost strpět cizí právo vjezdu či přístupu.</w:t>
      </w:r>
    </w:p>
    <w:p w:rsidR="00A0667B" w:rsidRPr="00A0667B" w:rsidRDefault="00A0667B" w:rsidP="00A0667B">
      <w:pPr>
        <w:widowControl/>
        <w:tabs>
          <w:tab w:val="clear" w:pos="3401"/>
          <w:tab w:val="right" w:pos="9070"/>
        </w:tabs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b/>
          <w:color w:val="00000A"/>
          <w:sz w:val="24"/>
          <w:szCs w:val="24"/>
          <w:lang w:eastAsia="cs-CZ"/>
        </w:rPr>
      </w:pPr>
      <w:r w:rsidRPr="00A0667B">
        <w:rPr>
          <w:rFonts w:ascii="Times New Roman" w:hAnsi="Times New Roman" w:cs="Times New Roman"/>
          <w:b/>
          <w:color w:val="00000A"/>
          <w:sz w:val="24"/>
          <w:szCs w:val="24"/>
          <w:lang w:eastAsia="cs-CZ"/>
        </w:rPr>
        <w:t>D) Poznámky a další obdobné údaje</w:t>
      </w:r>
    </w:p>
    <w:p w:rsidR="00A0667B" w:rsidRPr="00A0667B" w:rsidRDefault="00A0667B" w:rsidP="00A0667B">
      <w:pPr>
        <w:widowControl/>
        <w:tabs>
          <w:tab w:val="clear" w:pos="3401"/>
          <w:tab w:val="right" w:pos="9070"/>
        </w:tabs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A0667B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Zde naleznete informace o tom, zda probíhá nějaký zápis na katastrálním úřadu, který se dané nemovitosti týká. Pokud ano, je zde uvedeno písmeno „P“. V nahlížení do katastru uvidíte číslo jednací a účastníky řízení.</w:t>
      </w:r>
    </w:p>
    <w:p w:rsidR="00A0667B" w:rsidRPr="00A0667B" w:rsidRDefault="00A0667B" w:rsidP="00A0667B">
      <w:pPr>
        <w:widowControl/>
        <w:tabs>
          <w:tab w:val="clear" w:pos="3401"/>
          <w:tab w:val="right" w:pos="9070"/>
        </w:tabs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b/>
          <w:color w:val="00000A"/>
          <w:sz w:val="24"/>
          <w:szCs w:val="24"/>
          <w:lang w:eastAsia="cs-CZ"/>
        </w:rPr>
      </w:pPr>
      <w:r w:rsidRPr="00A0667B">
        <w:rPr>
          <w:rFonts w:ascii="Times New Roman" w:hAnsi="Times New Roman" w:cs="Times New Roman"/>
          <w:b/>
          <w:color w:val="00000A"/>
          <w:sz w:val="24"/>
          <w:szCs w:val="24"/>
          <w:lang w:eastAsia="cs-CZ"/>
        </w:rPr>
        <w:t>E) Nabývací tituly a jiné podklady zápisu</w:t>
      </w:r>
    </w:p>
    <w:p w:rsidR="00A0667B" w:rsidRPr="00A0667B" w:rsidRDefault="00A0667B" w:rsidP="00A0667B">
      <w:pPr>
        <w:widowControl/>
        <w:tabs>
          <w:tab w:val="clear" w:pos="3401"/>
          <w:tab w:val="right" w:pos="9070"/>
        </w:tabs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A0667B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Zde jsou uvedené listiny, které byly předloženy katastrálnímu úřadu pro zápis a díky kterým prodávající nemovitost nabyl. Jak je uvedeno shora, v internetové verzi výpisu nejsou, v úřední verzi ano. Jestliže má na tom někdo prokazatelný právní zájem, jsou tyto dokumenty k dispozici k nahlédnutí či pořízení kopie v tzv. Sbírce listin katastrálního úřadu.</w:t>
      </w:r>
    </w:p>
    <w:p w:rsidR="00A0667B" w:rsidRPr="00A0667B" w:rsidRDefault="00A0667B" w:rsidP="00A0667B">
      <w:pPr>
        <w:widowControl/>
        <w:tabs>
          <w:tab w:val="clear" w:pos="3401"/>
          <w:tab w:val="right" w:pos="9070"/>
        </w:tabs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b/>
          <w:color w:val="00000A"/>
          <w:sz w:val="24"/>
          <w:szCs w:val="24"/>
          <w:lang w:eastAsia="cs-CZ"/>
        </w:rPr>
      </w:pPr>
      <w:r w:rsidRPr="00A0667B">
        <w:rPr>
          <w:rFonts w:ascii="Times New Roman" w:hAnsi="Times New Roman" w:cs="Times New Roman"/>
          <w:b/>
          <w:color w:val="00000A"/>
          <w:sz w:val="24"/>
          <w:szCs w:val="24"/>
          <w:lang w:eastAsia="cs-CZ"/>
        </w:rPr>
        <w:t>F) Vztah bonitovaných půdně ekologických jednotek (BPEJ) k parcelám</w:t>
      </w:r>
    </w:p>
    <w:p w:rsidR="003128B9" w:rsidRDefault="00A0667B" w:rsidP="00A0667B">
      <w:pPr>
        <w:widowControl/>
        <w:tabs>
          <w:tab w:val="clear" w:pos="3401"/>
          <w:tab w:val="right" w:pos="9070"/>
        </w:tabs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A0667B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Tato část se týká pouze zemědělských pozemků a jejich zařazení do bonitních půdně ekologických jednotek.</w:t>
      </w:r>
    </w:p>
    <w:p w:rsidR="00A0667B" w:rsidRDefault="00A0667B" w:rsidP="00A0667B">
      <w:pPr>
        <w:widowControl/>
        <w:tabs>
          <w:tab w:val="clear" w:pos="3401"/>
          <w:tab w:val="right" w:pos="9070"/>
        </w:tabs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</w:p>
    <w:p w:rsidR="00A0667B" w:rsidRDefault="00A0667B" w:rsidP="00920704">
      <w:pPr>
        <w:widowControl/>
        <w:tabs>
          <w:tab w:val="clear" w:pos="3401"/>
          <w:tab w:val="right" w:pos="9070"/>
        </w:tabs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 w:rsidRPr="00A0667B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>Šťastnou ruku při koupi či prodeji té vaší nemovitosti přeje</w:t>
      </w:r>
      <w:r w:rsidR="00811C40">
        <w:rPr>
          <w:rFonts w:ascii="Times New Roman" w:hAnsi="Times New Roman" w:cs="Times New Roman"/>
          <w:color w:val="00000A"/>
          <w:sz w:val="24"/>
          <w:szCs w:val="24"/>
          <w:lang w:eastAsia="cs-CZ"/>
        </w:rPr>
        <w:tab/>
      </w:r>
    </w:p>
    <w:p w:rsidR="00450875" w:rsidRPr="00450875" w:rsidRDefault="00A0667B" w:rsidP="00920704">
      <w:pPr>
        <w:widowControl/>
        <w:tabs>
          <w:tab w:val="clear" w:pos="3401"/>
          <w:tab w:val="right" w:pos="9070"/>
        </w:tabs>
        <w:overflowPunct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color w:val="00000A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lang w:eastAsia="cs-CZ"/>
        </w:rPr>
        <w:tab/>
      </w:r>
      <w:r w:rsidRPr="00A0667B">
        <w:rPr>
          <w:rFonts w:ascii="Times New Roman" w:hAnsi="Times New Roman" w:cs="Times New Roman"/>
          <w:b/>
          <w:i/>
          <w:color w:val="00000A"/>
          <w:sz w:val="24"/>
          <w:szCs w:val="24"/>
          <w:lang w:eastAsia="cs-CZ"/>
        </w:rPr>
        <w:t xml:space="preserve">Václava </w:t>
      </w:r>
      <w:proofErr w:type="spellStart"/>
      <w:r w:rsidRPr="00A0667B">
        <w:rPr>
          <w:rFonts w:ascii="Times New Roman" w:hAnsi="Times New Roman" w:cs="Times New Roman"/>
          <w:b/>
          <w:i/>
          <w:color w:val="00000A"/>
          <w:sz w:val="24"/>
          <w:szCs w:val="24"/>
          <w:lang w:eastAsia="cs-CZ"/>
        </w:rPr>
        <w:t>Baudišová</w:t>
      </w:r>
      <w:proofErr w:type="spellEnd"/>
      <w:r w:rsidRPr="00A0667B">
        <w:rPr>
          <w:rFonts w:ascii="Times New Roman" w:hAnsi="Times New Roman" w:cs="Times New Roman"/>
          <w:b/>
          <w:i/>
          <w:color w:val="00000A"/>
          <w:sz w:val="24"/>
          <w:szCs w:val="24"/>
          <w:lang w:eastAsia="cs-CZ"/>
        </w:rPr>
        <w:t xml:space="preserve"> s pomocí časopisu </w:t>
      </w:r>
      <w:hyperlink r:id="rId6" w:history="1">
        <w:r w:rsidRPr="00A0667B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  <w:lang w:eastAsia="cs-CZ"/>
          </w:rPr>
          <w:t>Realcity.cz</w:t>
        </w:r>
      </w:hyperlink>
    </w:p>
    <w:sectPr w:rsidR="00450875" w:rsidRPr="00450875" w:rsidSect="004D2192">
      <w:pgSz w:w="11906" w:h="16838"/>
      <w:pgMar w:top="1134" w:right="1418" w:bottom="1134" w:left="1418" w:header="0" w:footer="0" w:gutter="0"/>
      <w:cols w:space="708"/>
      <w:formProt w:val="0"/>
      <w:docGrid w:linePitch="360" w:charSpace="-184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Biolinum">
    <w:altName w:val="Times New Roman"/>
    <w:panose1 w:val="02000503000000000000"/>
    <w:charset w:val="EE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Symbol">
    <w:altName w:val="Liberation Mono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charset w:val="EE"/>
    <w:family w:val="swiss"/>
    <w:pitch w:val="variable"/>
    <w:sig w:usb0="E4078EFF" w:usb1="4200FDFF" w:usb2="000030A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2FB"/>
    <w:multiLevelType w:val="hybridMultilevel"/>
    <w:tmpl w:val="5AEC9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85F43"/>
    <w:multiLevelType w:val="hybridMultilevel"/>
    <w:tmpl w:val="8DA45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1158D"/>
    <w:multiLevelType w:val="hybridMultilevel"/>
    <w:tmpl w:val="115EC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E9"/>
    <w:rsid w:val="000077CB"/>
    <w:rsid w:val="000153BD"/>
    <w:rsid w:val="0004425F"/>
    <w:rsid w:val="00044D9B"/>
    <w:rsid w:val="00065A45"/>
    <w:rsid w:val="0007282D"/>
    <w:rsid w:val="00077D91"/>
    <w:rsid w:val="0008480D"/>
    <w:rsid w:val="000E2700"/>
    <w:rsid w:val="0012602C"/>
    <w:rsid w:val="00126C81"/>
    <w:rsid w:val="001374FC"/>
    <w:rsid w:val="00144772"/>
    <w:rsid w:val="00193F70"/>
    <w:rsid w:val="001B3C11"/>
    <w:rsid w:val="001D6A3E"/>
    <w:rsid w:val="001E4C47"/>
    <w:rsid w:val="00250155"/>
    <w:rsid w:val="00270CEB"/>
    <w:rsid w:val="00275895"/>
    <w:rsid w:val="0028284A"/>
    <w:rsid w:val="002965AB"/>
    <w:rsid w:val="002B0694"/>
    <w:rsid w:val="003128B9"/>
    <w:rsid w:val="00373FF0"/>
    <w:rsid w:val="003749FB"/>
    <w:rsid w:val="003950BB"/>
    <w:rsid w:val="003968B9"/>
    <w:rsid w:val="003F23F2"/>
    <w:rsid w:val="00423D4D"/>
    <w:rsid w:val="00424BE7"/>
    <w:rsid w:val="00450875"/>
    <w:rsid w:val="00456BE9"/>
    <w:rsid w:val="00457DF9"/>
    <w:rsid w:val="0048651A"/>
    <w:rsid w:val="004C3DB8"/>
    <w:rsid w:val="004C3DE7"/>
    <w:rsid w:val="004D1C77"/>
    <w:rsid w:val="004D2192"/>
    <w:rsid w:val="004D74FA"/>
    <w:rsid w:val="004E21D0"/>
    <w:rsid w:val="00520303"/>
    <w:rsid w:val="00521CC0"/>
    <w:rsid w:val="00540BC9"/>
    <w:rsid w:val="00541F14"/>
    <w:rsid w:val="005546C1"/>
    <w:rsid w:val="00580515"/>
    <w:rsid w:val="005945AB"/>
    <w:rsid w:val="005C78F0"/>
    <w:rsid w:val="005F17F8"/>
    <w:rsid w:val="00623CF4"/>
    <w:rsid w:val="00640C8E"/>
    <w:rsid w:val="0067573C"/>
    <w:rsid w:val="0069006D"/>
    <w:rsid w:val="00695AC1"/>
    <w:rsid w:val="006C0F0E"/>
    <w:rsid w:val="006C385A"/>
    <w:rsid w:val="006E5F7C"/>
    <w:rsid w:val="006E72F7"/>
    <w:rsid w:val="0071291E"/>
    <w:rsid w:val="0072554B"/>
    <w:rsid w:val="00753FF9"/>
    <w:rsid w:val="00754FE6"/>
    <w:rsid w:val="007760CB"/>
    <w:rsid w:val="007767C1"/>
    <w:rsid w:val="00791A90"/>
    <w:rsid w:val="007949F0"/>
    <w:rsid w:val="007D367D"/>
    <w:rsid w:val="007E5AFC"/>
    <w:rsid w:val="00805E2D"/>
    <w:rsid w:val="00806F7C"/>
    <w:rsid w:val="00811C40"/>
    <w:rsid w:val="00815E6A"/>
    <w:rsid w:val="00851380"/>
    <w:rsid w:val="00865F2A"/>
    <w:rsid w:val="0087224B"/>
    <w:rsid w:val="00883957"/>
    <w:rsid w:val="008B0567"/>
    <w:rsid w:val="00903724"/>
    <w:rsid w:val="00920704"/>
    <w:rsid w:val="00940C4B"/>
    <w:rsid w:val="0094210C"/>
    <w:rsid w:val="00960C57"/>
    <w:rsid w:val="00974388"/>
    <w:rsid w:val="00982F2F"/>
    <w:rsid w:val="009C045C"/>
    <w:rsid w:val="009E3BA4"/>
    <w:rsid w:val="009E5CF3"/>
    <w:rsid w:val="009F0739"/>
    <w:rsid w:val="009F5C35"/>
    <w:rsid w:val="00A0667B"/>
    <w:rsid w:val="00A108BF"/>
    <w:rsid w:val="00A218FB"/>
    <w:rsid w:val="00A90483"/>
    <w:rsid w:val="00AB5D5E"/>
    <w:rsid w:val="00AB6F5F"/>
    <w:rsid w:val="00AC5736"/>
    <w:rsid w:val="00AE6C33"/>
    <w:rsid w:val="00B10EE1"/>
    <w:rsid w:val="00B2179A"/>
    <w:rsid w:val="00B53DFB"/>
    <w:rsid w:val="00B76419"/>
    <w:rsid w:val="00BD6FB6"/>
    <w:rsid w:val="00BE0FFA"/>
    <w:rsid w:val="00BE78E5"/>
    <w:rsid w:val="00C27805"/>
    <w:rsid w:val="00C44EAF"/>
    <w:rsid w:val="00C46685"/>
    <w:rsid w:val="00C55BAD"/>
    <w:rsid w:val="00C61953"/>
    <w:rsid w:val="00C83A0F"/>
    <w:rsid w:val="00C872FD"/>
    <w:rsid w:val="00CB5127"/>
    <w:rsid w:val="00CC21B3"/>
    <w:rsid w:val="00CE5475"/>
    <w:rsid w:val="00D315DA"/>
    <w:rsid w:val="00D40C12"/>
    <w:rsid w:val="00D6751A"/>
    <w:rsid w:val="00D9521C"/>
    <w:rsid w:val="00DC247A"/>
    <w:rsid w:val="00DF3215"/>
    <w:rsid w:val="00E06244"/>
    <w:rsid w:val="00E20FB3"/>
    <w:rsid w:val="00E25085"/>
    <w:rsid w:val="00E3673B"/>
    <w:rsid w:val="00E53F2F"/>
    <w:rsid w:val="00E54BBA"/>
    <w:rsid w:val="00E557E9"/>
    <w:rsid w:val="00E91EF1"/>
    <w:rsid w:val="00EB1C12"/>
    <w:rsid w:val="00EC0824"/>
    <w:rsid w:val="00EF4131"/>
    <w:rsid w:val="00EF50C9"/>
    <w:rsid w:val="00F076C8"/>
    <w:rsid w:val="00F311DA"/>
    <w:rsid w:val="00F53F0F"/>
    <w:rsid w:val="00F62CFC"/>
    <w:rsid w:val="00F81F3F"/>
    <w:rsid w:val="00F87D71"/>
    <w:rsid w:val="00FB46EC"/>
    <w:rsid w:val="00FC2446"/>
    <w:rsid w:val="00FC6576"/>
    <w:rsid w:val="00FE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7896"/>
  <w15:docId w15:val="{8C815E9A-FE5F-45DD-8025-900137D1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3190"/>
    <w:pPr>
      <w:widowControl w:val="0"/>
      <w:tabs>
        <w:tab w:val="left" w:pos="1700"/>
        <w:tab w:val="left" w:pos="2267"/>
        <w:tab w:val="left" w:pos="3401"/>
      </w:tabs>
      <w:spacing w:line="400" w:lineRule="exact"/>
      <w:ind w:firstLine="566"/>
      <w:jc w:val="both"/>
    </w:pPr>
    <w:rPr>
      <w:rFonts w:ascii="Linux Biolinum" w:hAnsi="Linux Biolinum" w:cs="Linux Biolinum"/>
      <w:color w:val="000000"/>
      <w:sz w:val="30"/>
      <w:szCs w:val="30"/>
    </w:rPr>
  </w:style>
  <w:style w:type="paragraph" w:styleId="Nadpis1">
    <w:name w:val="heading 1"/>
    <w:basedOn w:val="Normln"/>
    <w:link w:val="Nadpis1Char"/>
    <w:uiPriority w:val="9"/>
    <w:qFormat/>
    <w:rsid w:val="00BD3190"/>
    <w:pPr>
      <w:spacing w:before="240" w:after="360"/>
      <w:ind w:left="141" w:firstLine="0"/>
      <w:jc w:val="left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BD3190"/>
    <w:pPr>
      <w:ind w:firstLine="0"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adpis1"/>
    <w:link w:val="Nadpis3Char"/>
    <w:uiPriority w:val="9"/>
    <w:unhideWhenUsed/>
    <w:qFormat/>
    <w:rsid w:val="00BD3190"/>
    <w:pPr>
      <w:outlineLvl w:val="2"/>
    </w:pPr>
    <w:rPr>
      <w:rFonts w:ascii="Arial Black" w:hAnsi="Arial Black" w:cs="Arial Black"/>
      <w:b w:val="0"/>
      <w:bCs w:val="0"/>
      <w:color w:val="24356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BD3190"/>
    <w:rPr>
      <w:rFonts w:ascii="Cambria" w:hAnsi="Cambria"/>
      <w:b/>
      <w:bCs/>
      <w:color w:val="000000"/>
      <w:sz w:val="32"/>
      <w:szCs w:val="32"/>
    </w:rPr>
  </w:style>
  <w:style w:type="character" w:customStyle="1" w:styleId="Nadpis2Char">
    <w:name w:val="Nadpis 2 Char"/>
    <w:link w:val="Nadpis2"/>
    <w:uiPriority w:val="9"/>
    <w:qFormat/>
    <w:rsid w:val="00BD3190"/>
    <w:rPr>
      <w:rFonts w:ascii="Cambria" w:hAnsi="Cambria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BD3190"/>
    <w:rPr>
      <w:rFonts w:ascii="Arial Black" w:hAnsi="Arial Black" w:cs="Arial Black"/>
      <w:color w:val="243564"/>
      <w:sz w:val="32"/>
      <w:szCs w:val="32"/>
    </w:rPr>
  </w:style>
  <w:style w:type="character" w:styleId="Siln">
    <w:name w:val="Strong"/>
    <w:basedOn w:val="Standardnpsmoodstavce"/>
    <w:uiPriority w:val="22"/>
    <w:qFormat/>
    <w:rsid w:val="00BD3190"/>
    <w:rPr>
      <w:b/>
      <w:bCs/>
    </w:rPr>
  </w:style>
  <w:style w:type="character" w:customStyle="1" w:styleId="Zdraznn1">
    <w:name w:val="Zdůraznění1"/>
    <w:basedOn w:val="Standardnpsmoodstavce"/>
    <w:uiPriority w:val="20"/>
    <w:qFormat/>
    <w:rsid w:val="00BD3190"/>
    <w:rPr>
      <w:i/>
      <w:iCs/>
    </w:rPr>
  </w:style>
  <w:style w:type="character" w:customStyle="1" w:styleId="Internetovodkaz">
    <w:name w:val="Internetový odkaz"/>
    <w:basedOn w:val="Standardnpsmoodstavce"/>
    <w:uiPriority w:val="99"/>
    <w:unhideWhenUsed/>
    <w:rsid w:val="00453220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ascii="Times New Roman" w:hAnsi="Times New Roman"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ascii="Times New Roman" w:hAnsi="Times New Roman" w:cs="FreeSans"/>
    </w:rPr>
  </w:style>
  <w:style w:type="paragraph" w:styleId="Bezmezer">
    <w:name w:val="No Spacing"/>
    <w:uiPriority w:val="1"/>
    <w:qFormat/>
    <w:rsid w:val="00BD3190"/>
    <w:pPr>
      <w:widowControl w:val="0"/>
      <w:tabs>
        <w:tab w:val="left" w:pos="1700"/>
        <w:tab w:val="left" w:pos="2267"/>
        <w:tab w:val="left" w:pos="3401"/>
      </w:tabs>
      <w:ind w:firstLine="566"/>
      <w:jc w:val="both"/>
    </w:pPr>
    <w:rPr>
      <w:rFonts w:ascii="Linux Biolinum" w:hAnsi="Linux Biolinum" w:cs="Linux Biolinum"/>
      <w:color w:val="00000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D319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453220"/>
    <w:pPr>
      <w:widowControl/>
      <w:overflowPunct w:val="0"/>
      <w:spacing w:beforeAutospacing="1" w:afterAutospacing="1" w:line="240" w:lineRule="auto"/>
      <w:ind w:firstLine="0"/>
      <w:jc w:val="left"/>
    </w:pPr>
    <w:rPr>
      <w:rFonts w:ascii="Times New Roman" w:hAnsi="Times New Roman" w:cs="Times New Roman"/>
      <w:color w:val="00000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210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4210C"/>
    <w:rPr>
      <w:color w:val="800080" w:themeColor="followedHyperlink"/>
      <w:u w:val="single"/>
    </w:rPr>
  </w:style>
  <w:style w:type="paragraph" w:customStyle="1" w:styleId="Default">
    <w:name w:val="Default"/>
    <w:rsid w:val="00DC247A"/>
    <w:pPr>
      <w:autoSpaceDE w:val="0"/>
      <w:autoSpaceDN w:val="0"/>
      <w:adjustRightInd w:val="0"/>
    </w:pPr>
    <w:rPr>
      <w:rFonts w:ascii="Linux Biolinum" w:hAnsi="Linux Biolinum" w:cs="Linux Biolin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alcity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AFCED-295C-4D2D-9CF8-CC639ABD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1022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Jasinský</dc:creator>
  <cp:lastModifiedBy>Uživatel</cp:lastModifiedBy>
  <cp:revision>4</cp:revision>
  <dcterms:created xsi:type="dcterms:W3CDTF">2021-07-23T10:58:00Z</dcterms:created>
  <dcterms:modified xsi:type="dcterms:W3CDTF">2021-07-23T11:52:00Z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