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E9" w:rsidRPr="00E53F2F" w:rsidRDefault="00E06244">
      <w:pPr>
        <w:widowControl/>
        <w:overflowPunct w:val="0"/>
        <w:spacing w:beforeAutospacing="1" w:afterAutospacing="1" w:line="240" w:lineRule="auto"/>
        <w:ind w:firstLine="0"/>
        <w:jc w:val="center"/>
        <w:outlineLvl w:val="0"/>
        <w:rPr>
          <w:rFonts w:ascii="Times New Roman" w:hAnsi="Times New Roman" w:cs="Times New Roman"/>
        </w:rPr>
      </w:pPr>
      <w:r w:rsidRPr="00E53F2F">
        <w:rPr>
          <w:rFonts w:ascii="Times New Roman" w:hAnsi="Times New Roman" w:cs="Times New Roman"/>
          <w:b/>
          <w:bCs/>
          <w:color w:val="00000A"/>
          <w:sz w:val="48"/>
          <w:szCs w:val="48"/>
          <w:lang w:eastAsia="cs-CZ"/>
        </w:rPr>
        <w:t>Informace a odpovědi na dotazy ze Sociáln</w:t>
      </w:r>
      <w:r w:rsidR="004D1C77" w:rsidRPr="00E53F2F">
        <w:rPr>
          <w:rFonts w:ascii="Times New Roman" w:hAnsi="Times New Roman" w:cs="Times New Roman"/>
          <w:b/>
          <w:bCs/>
          <w:color w:val="00000A"/>
          <w:sz w:val="48"/>
          <w:szCs w:val="48"/>
          <w:lang w:eastAsia="cs-CZ"/>
        </w:rPr>
        <w:t xml:space="preserve">ě právní poradny SONS v Praze </w:t>
      </w:r>
      <w:r w:rsidR="00C61953">
        <w:rPr>
          <w:rFonts w:ascii="Times New Roman" w:hAnsi="Times New Roman" w:cs="Times New Roman"/>
          <w:b/>
          <w:bCs/>
          <w:color w:val="00000A"/>
          <w:sz w:val="48"/>
          <w:szCs w:val="48"/>
          <w:lang w:eastAsia="cs-CZ"/>
        </w:rPr>
        <w:t>0</w:t>
      </w:r>
      <w:r w:rsidR="00C44EAF">
        <w:rPr>
          <w:rFonts w:ascii="Times New Roman" w:hAnsi="Times New Roman" w:cs="Times New Roman"/>
          <w:b/>
          <w:bCs/>
          <w:color w:val="00000A"/>
          <w:sz w:val="48"/>
          <w:szCs w:val="48"/>
          <w:lang w:eastAsia="cs-CZ"/>
        </w:rPr>
        <w:t>9</w:t>
      </w:r>
      <w:r w:rsidR="005546C1" w:rsidRPr="00E53F2F">
        <w:rPr>
          <w:rFonts w:ascii="Times New Roman" w:hAnsi="Times New Roman" w:cs="Times New Roman"/>
          <w:b/>
          <w:bCs/>
          <w:color w:val="00000A"/>
          <w:sz w:val="48"/>
          <w:szCs w:val="48"/>
          <w:lang w:eastAsia="cs-CZ"/>
        </w:rPr>
        <w:t>/20</w:t>
      </w:r>
      <w:r w:rsidR="00982F2F">
        <w:rPr>
          <w:rFonts w:ascii="Times New Roman" w:hAnsi="Times New Roman" w:cs="Times New Roman"/>
          <w:b/>
          <w:bCs/>
          <w:color w:val="00000A"/>
          <w:sz w:val="48"/>
          <w:szCs w:val="48"/>
          <w:lang w:eastAsia="cs-CZ"/>
        </w:rPr>
        <w:t>20</w:t>
      </w:r>
    </w:p>
    <w:p w:rsidR="00B10EE1" w:rsidRDefault="00B10EE1" w:rsidP="00EC0824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B10EE1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V letošním devátém článku této rubriky se budeme věnovat změnám a popisu jediné dávky ze systému státní sociální podpory, a to příspěvku na bydlení.</w:t>
      </w:r>
    </w:p>
    <w:p w:rsidR="00B10EE1" w:rsidRPr="00B10EE1" w:rsidRDefault="00920704" w:rsidP="00B10EE1">
      <w:pPr>
        <w:pStyle w:val="Odstavecseseznamem"/>
        <w:widowControl/>
        <w:numPr>
          <w:ilvl w:val="0"/>
          <w:numId w:val="48"/>
        </w:numPr>
        <w:overflowPunct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hyperlink w:anchor="Zmeny_v_prispevku" w:history="1">
        <w:r w:rsidR="00B10EE1" w:rsidRPr="00920704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Změny v příspě</w:t>
        </w:r>
        <w:r w:rsidR="00B10EE1" w:rsidRPr="00920704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v</w:t>
        </w:r>
        <w:r w:rsidR="00B10EE1" w:rsidRPr="00920704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ku</w:t>
        </w:r>
      </w:hyperlink>
      <w:r w:rsidR="00B10EE1" w:rsidRPr="00B10EE1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</w:t>
      </w:r>
      <w:bookmarkStart w:id="0" w:name="_GoBack"/>
      <w:bookmarkEnd w:id="0"/>
    </w:p>
    <w:p w:rsidR="00EC0824" w:rsidRPr="00B10EE1" w:rsidRDefault="00920704" w:rsidP="00B10EE1">
      <w:pPr>
        <w:pStyle w:val="Odstavecseseznamem"/>
        <w:widowControl/>
        <w:numPr>
          <w:ilvl w:val="0"/>
          <w:numId w:val="48"/>
        </w:numPr>
        <w:overflowPunct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hyperlink w:anchor="Vyse_prispevku" w:history="1">
        <w:r w:rsidR="00B10EE1" w:rsidRPr="00920704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Výše přísp</w:t>
        </w:r>
        <w:r w:rsidR="00B10EE1" w:rsidRPr="00920704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ě</w:t>
        </w:r>
        <w:r w:rsidR="00B10EE1" w:rsidRPr="00920704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vku</w:t>
        </w:r>
      </w:hyperlink>
    </w:p>
    <w:p w:rsidR="00450875" w:rsidRDefault="00920704" w:rsidP="00065A45">
      <w:pPr>
        <w:widowControl/>
        <w:overflowPunct w:val="0"/>
        <w:spacing w:before="100" w:beforeAutospacing="1" w:line="240" w:lineRule="auto"/>
        <w:ind w:firstLine="0"/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</w:pPr>
      <w:bookmarkStart w:id="1" w:name="Zmeny_v_prispevku"/>
      <w:r w:rsidRPr="00920704"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  <w:t>Změny v příspěvku</w:t>
      </w:r>
      <w:bookmarkEnd w:id="1"/>
      <w:r w:rsidR="00450875" w:rsidRPr="00450875"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  <w:t xml:space="preserve"> </w:t>
      </w:r>
    </w:p>
    <w:p w:rsidR="00920704" w:rsidRPr="00920704" w:rsidRDefault="00920704" w:rsidP="00920704">
      <w:pPr>
        <w:widowControl/>
        <w:overflowPunct w:val="0"/>
        <w:spacing w:before="100" w:before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92070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O zákonu o státní sociální podpoře jsme se naposledy v této rubrice zmiňovali v článku 02/2020, kdy jsme probrali zvýšení rodičovského příspěvku. Tuto změnu přinesla novela č. 363/2019 Sb., rodičovský příspěvek se změnil již od 1. ledna t. r. Ovšem ve</w:t>
      </w:r>
      <w:r w:rsidR="00C44EAF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stejné novele byla zakotvena i </w:t>
      </w:r>
      <w:r w:rsidRPr="0092070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změna, která se týká příspěvku na bydlení, jež nabyla účinnosti až 1. července; protože jde o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92070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dávku, na kterou dosáhnou i mnozí lidé z naší komunity, jak o tom svědčí poměrně časté dotazy na toto téma v poradně, považuji za užitečné o současné podobě příspěvku na bydlení poreferovat.</w:t>
      </w:r>
    </w:p>
    <w:p w:rsidR="00920704" w:rsidRPr="00920704" w:rsidRDefault="00920704" w:rsidP="00920704">
      <w:pPr>
        <w:widowControl/>
        <w:overflowPunct w:val="0"/>
        <w:spacing w:before="100" w:before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92070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Zatímco do konce června 2020 měli nárok na příspěvek na bydlení jen vlastníci nebo nájemci bytu, kteří v něm byli hlášeni k trvalému pobytu, podmínka trvalého pobytu od července tohoto roku neplatí. Nyní má nárok na příspěvek na bydlení nájemce či vlastník bytu, splňující dvě následující podmínky, které jsme již v článcích několikrát uváděli, nicméně jejich krátká rekapitulace nemůže uškodit:</w:t>
      </w:r>
    </w:p>
    <w:p w:rsidR="00920704" w:rsidRPr="00920704" w:rsidRDefault="00920704" w:rsidP="00920704">
      <w:pPr>
        <w:pStyle w:val="Odstavecseseznamem"/>
        <w:widowControl/>
        <w:numPr>
          <w:ilvl w:val="0"/>
          <w:numId w:val="49"/>
        </w:numPr>
        <w:overflowPunct w:val="0"/>
        <w:spacing w:before="100" w:beforeAutospacing="1" w:line="240" w:lineRule="auto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92070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Náklady na bydlení vlastníka či nájemce a </w:t>
      </w:r>
      <w:proofErr w:type="gramStart"/>
      <w:r w:rsidRPr="0092070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sním</w:t>
      </w:r>
      <w:proofErr w:type="gramEnd"/>
      <w:r w:rsidRPr="0092070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společně posuzovaných osob </w:t>
      </w:r>
      <w:proofErr w:type="gramStart"/>
      <w:r w:rsidRPr="0092070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musí</w:t>
      </w:r>
      <w:proofErr w:type="gramEnd"/>
      <w:r w:rsidRPr="0092070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činit více než 30 % a u osob žijících na území hlavního města Prahy 35 % rozhodných příjmů v rodině a</w:t>
      </w:r>
    </w:p>
    <w:p w:rsidR="00920704" w:rsidRPr="00920704" w:rsidRDefault="00920704" w:rsidP="00920704">
      <w:pPr>
        <w:pStyle w:val="Odstavecseseznamem"/>
        <w:widowControl/>
        <w:numPr>
          <w:ilvl w:val="0"/>
          <w:numId w:val="49"/>
        </w:numPr>
        <w:overflowPunct w:val="0"/>
        <w:spacing w:before="100" w:beforeAutospacing="1" w:line="240" w:lineRule="auto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92070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30 % a u osob s bydlištěm na území hlavního města Prahy 35 % rozhodných příjmů v</w:t>
      </w:r>
      <w:r w:rsidR="00C44EAF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92070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rodině nesmí přesahovat normativní náklady na bydlení.</w:t>
      </w:r>
    </w:p>
    <w:p w:rsidR="00920704" w:rsidRPr="00920704" w:rsidRDefault="00920704" w:rsidP="00920704">
      <w:pPr>
        <w:widowControl/>
        <w:overflowPunct w:val="0"/>
        <w:spacing w:before="100" w:before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92070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Za společně posuzované osoby se považují rodiče a nezletilé nezaopatřené děti, manželé, partneři, rodiče a zaopatřené nezletilé děti, rodiče a zletilé děti, pokud s rodiči užívají byt a</w:t>
      </w:r>
      <w:r w:rsidR="00C44EAF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92070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nejsou posuzovány s jinými osobami a dále i jiné osoby, které společně užívají byt s výjimkou osob, které prokáží, že spolu trvale nežijí a neuhrazují náklady. S trochou zjednodušení lze říci, že pro příspěvek na bydlení se vždy posuzují společně osoby, které spolu fakticky užívají jeden byt, přičemž má-li na příspěvek na bydlení nárok více osob, musí se dohodnout, kdo o příspěvek požádá; pokud by se nedohodly, o nároku rozhodne Úřad práce.</w:t>
      </w:r>
    </w:p>
    <w:p w:rsidR="00920704" w:rsidRPr="00920704" w:rsidRDefault="00920704" w:rsidP="00920704">
      <w:pPr>
        <w:widowControl/>
        <w:overflowPunct w:val="0"/>
        <w:spacing w:before="100" w:before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92070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Vlastnické či nájemní právo lze odvodit i od stejného práva druhého manžela, pokud tento nežádá o příspěvek na bydlení.</w:t>
      </w:r>
    </w:p>
    <w:p w:rsidR="00920704" w:rsidRPr="00920704" w:rsidRDefault="00920704" w:rsidP="00920704">
      <w:pPr>
        <w:widowControl/>
        <w:overflowPunct w:val="0"/>
        <w:spacing w:before="100" w:before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92070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Dojde-li ke změně bydliště u vlastníka či nájemce bytu, který pobírá příspěvek na bydlení, vždy se v příspěvku tato změna projeví až od prvního dne následujícího kalendářního měsíce.</w:t>
      </w:r>
    </w:p>
    <w:p w:rsidR="00920704" w:rsidRPr="00920704" w:rsidRDefault="00920704" w:rsidP="00920704">
      <w:pPr>
        <w:widowControl/>
        <w:overflowPunct w:val="0"/>
        <w:spacing w:before="100" w:before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92070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Ve výčtu položek, které se započítávají do nákladů na bydlení, k žádné významné změně nedochází, patří sem pochopitelně nájemné, u družstevního či vlastnického bydlení pak s</w:t>
      </w:r>
      <w:r w:rsidR="00C44EAF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92070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nájemným srovnatelné náklady podle počtu osob, které spolu byt užívají. Tyto částky činí v</w:t>
      </w:r>
      <w:r w:rsidR="00C44EAF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92070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současné době od 2.128 Kč pro jednu osobu až po 4.592 Kč pro čtyři a více osob.</w:t>
      </w:r>
    </w:p>
    <w:p w:rsidR="00920704" w:rsidRPr="00920704" w:rsidRDefault="00920704" w:rsidP="00920704">
      <w:pPr>
        <w:widowControl/>
        <w:overflowPunct w:val="0"/>
        <w:spacing w:before="100" w:before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92070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lastRenderedPageBreak/>
        <w:t>Dále se do nákladů na bydlení započítávají náklady za plyn, elektřinu a náklady za plnění poskytované s užíváním bytu, kterými se rozumí náklady za dodávku tepla (dálkové vytápění) a centralizované poskytování teplé vody, dodávku vody z vodovodů a vodáren a odvádění odpadních vod, provoz výtahu, osvětlení společných prostor v domě, úklid společných prostor v domě, odvoz odpadních vod a čištění jímek, vybavení bytu společnou televizní a rozhlasovou anténou a odvoz komunálního odpadu, případně náklady za pevná paliva; započitatelné částky za pevná paliva jsou zákonem opět konkrétně vyčísleny dle počtu spolu bydlících osob.</w:t>
      </w:r>
    </w:p>
    <w:p w:rsidR="00920704" w:rsidRPr="00920704" w:rsidRDefault="00920704" w:rsidP="00920704">
      <w:pPr>
        <w:widowControl/>
        <w:overflowPunct w:val="0"/>
        <w:spacing w:before="100" w:before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92070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Náklady na bydlení se prokazují čtvrtletně, započítá se jejich měsíční průměr za bezprostředně předcházející čtvrtletí. Náklady se započítávají ve skutečně vyplacených částkách, a to včetně zálohových plateb s tím, že případné přeplatky či nedoplatky se započítají do období, kdy byly skutečně vráceny, resp. Doplaceny.</w:t>
      </w:r>
    </w:p>
    <w:p w:rsidR="00920704" w:rsidRPr="00920704" w:rsidRDefault="00920704" w:rsidP="00920704">
      <w:pPr>
        <w:widowControl/>
        <w:overflowPunct w:val="0"/>
        <w:spacing w:before="100" w:before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92070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Důležitým ustanovením, k jehož pravidelné novelizaci je zákonem vláda zmocněna, je § 26. V</w:t>
      </w:r>
      <w:r w:rsidR="00C44EAF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92070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tomto ustanovení jsou stanoveny normativní náklady na bydlení, které jsou rozhodné při posuzování druhé podmínky nároku na příspěvek. Pokud 30 %, resp. U bytů v Praze 35 % rozhodných příjmů společně posuzovaných osob tyto normativní náklady přesáhne, pak na příspěvek nárok nevznikne. Normativní náklady jsou odstupňovány nejen podle počtu společně posuzovaných osob, ale také podle počtu obyvatel obce, v níž se byt nachází. A tak zatímco pro tříčlennou rodinu v pražském nájemním bytě činí normativní náklady 15.953 Kč, normativní náklady tříčlenné rodiny v obci s počtem do deseti tisíc obyvatel činí 10.220 Kč.</w:t>
      </w:r>
    </w:p>
    <w:p w:rsidR="00065A45" w:rsidRDefault="00920704" w:rsidP="00920704">
      <w:pPr>
        <w:widowControl/>
        <w:overflowPunct w:val="0"/>
        <w:spacing w:before="100" w:before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92070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U bytu družstevního či v osobním vlastnictví pak normativní náklady téže tříčlenné rodiny činí 9.462 Kč, zde bez ohledu na obec, v níž se byt nachází.</w:t>
      </w:r>
    </w:p>
    <w:p w:rsidR="0008480D" w:rsidRDefault="00920704" w:rsidP="00E91EF1">
      <w:pPr>
        <w:widowControl/>
        <w:tabs>
          <w:tab w:val="clear" w:pos="3401"/>
          <w:tab w:val="right" w:pos="9070"/>
        </w:tabs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</w:pPr>
      <w:bookmarkStart w:id="2" w:name="Vyse_prispevku"/>
      <w:r w:rsidRPr="00920704"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  <w:t>Výše příspěvku</w:t>
      </w:r>
    </w:p>
    <w:bookmarkEnd w:id="2"/>
    <w:p w:rsidR="00920704" w:rsidRPr="00920704" w:rsidRDefault="00920704" w:rsidP="00920704">
      <w:pPr>
        <w:widowControl/>
        <w:tabs>
          <w:tab w:val="clear" w:pos="3401"/>
          <w:tab w:val="right" w:pos="9070"/>
        </w:tabs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92070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Výše příspěvku se rovná rozdílu mezi normativními náklady na bydlení a 30, resp. V Praze 35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92070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% příjmů. Pokud by byly skutečné náklady na bydlení nižší než normativní náklady, pak rozdíl mezi skutečnými náklady a 30, resp. 35 % příjmů.</w:t>
      </w:r>
    </w:p>
    <w:p w:rsidR="00920704" w:rsidRPr="00920704" w:rsidRDefault="00920704" w:rsidP="00920704">
      <w:pPr>
        <w:widowControl/>
        <w:tabs>
          <w:tab w:val="clear" w:pos="3401"/>
          <w:tab w:val="right" w:pos="9070"/>
        </w:tabs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92070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Od dubna 2020 mohlo dojít k poněkud paradoxní situaci, a to v důsledku zvýšení částek životního minima. U osob, jejichž 30, resp. 35 % příjmů nedosahuje životního minima, se totiž výše příspěvku vypočítává jako rozdíl mezi životním minimem a normativními náklady na bydlení, a tak mohlo dojít ke snížení příspěvku; doufám, že tento nezamýšlený důsledek zvýšení částek životního minima v naší komunitě postihl minimum lidí.</w:t>
      </w:r>
    </w:p>
    <w:p w:rsidR="00920704" w:rsidRPr="00920704" w:rsidRDefault="00920704" w:rsidP="00920704">
      <w:pPr>
        <w:widowControl/>
        <w:tabs>
          <w:tab w:val="clear" w:pos="3401"/>
          <w:tab w:val="right" w:pos="9070"/>
        </w:tabs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92070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Do rozhodných příjmů se vedle zdanitelných příjmů ze závislé činnosti a samostatné výdělečné činnosti započítávají také příjmy plynoucí z invalidního či starobního důchodu, přídavek na dítě, rodičovský příspěvek, ale i příspěvek na péči, pokud osoba poskytující pomoc bude patřit do okruhu společně posuzovaných osob.</w:t>
      </w:r>
    </w:p>
    <w:p w:rsidR="00920704" w:rsidRPr="00920704" w:rsidRDefault="00920704" w:rsidP="00920704">
      <w:pPr>
        <w:widowControl/>
        <w:tabs>
          <w:tab w:val="clear" w:pos="3401"/>
          <w:tab w:val="right" w:pos="9070"/>
        </w:tabs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92070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K orientačnímu výpočtu, zda byste na příspěvek na bydlení měli nárok, můžete použít kalkulačku na tomto webu:</w:t>
      </w:r>
    </w:p>
    <w:p w:rsidR="00920704" w:rsidRPr="00920704" w:rsidRDefault="00920704" w:rsidP="00920704">
      <w:pPr>
        <w:widowControl/>
        <w:tabs>
          <w:tab w:val="clear" w:pos="3401"/>
          <w:tab w:val="right" w:pos="9070"/>
        </w:tabs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hyperlink r:id="rId6" w:history="1">
        <w:r w:rsidRPr="00920704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https://www.finance.cz/duchody-a-davky/kalkulacky-a-aplikace/prispevek-na-bydleni/</w:t>
        </w:r>
      </w:hyperlink>
    </w:p>
    <w:p w:rsidR="003128B9" w:rsidRDefault="00920704" w:rsidP="00920704">
      <w:pPr>
        <w:widowControl/>
        <w:tabs>
          <w:tab w:val="clear" w:pos="3401"/>
          <w:tab w:val="right" w:pos="9070"/>
        </w:tabs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92070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Protože byla zrušena podmínka trvalého pobytu, má zároveň Úřad práce pravomoc kontrolovat, kdo v bytě, na který se o příspěvek na bydlení žádá či se již poskytuje, skutečně bydlí.</w:t>
      </w:r>
    </w:p>
    <w:p w:rsidR="00450875" w:rsidRPr="00450875" w:rsidRDefault="00541F14" w:rsidP="00920704">
      <w:pPr>
        <w:widowControl/>
        <w:tabs>
          <w:tab w:val="clear" w:pos="3401"/>
          <w:tab w:val="right" w:pos="9070"/>
        </w:tabs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541F1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Za Sociálně právní poradnu SONS v Praze</w:t>
      </w:r>
      <w:r w:rsidR="00811C4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ab/>
      </w:r>
      <w:r w:rsidR="00D9521C" w:rsidRPr="00D9521C">
        <w:rPr>
          <w:rFonts w:ascii="Times New Roman" w:hAnsi="Times New Roman" w:cs="Times New Roman"/>
          <w:b/>
          <w:i/>
          <w:color w:val="00000A"/>
          <w:sz w:val="24"/>
          <w:szCs w:val="24"/>
          <w:lang w:eastAsia="cs-CZ"/>
        </w:rPr>
        <w:t>Luboš Zajíc</w:t>
      </w:r>
    </w:p>
    <w:sectPr w:rsidR="00450875" w:rsidRPr="00450875" w:rsidSect="004D2192">
      <w:pgSz w:w="11906" w:h="16838"/>
      <w:pgMar w:top="1134" w:right="1418" w:bottom="1134" w:left="1418" w:header="0" w:footer="0" w:gutter="0"/>
      <w:cols w:space="708"/>
      <w:formProt w:val="0"/>
      <w:docGrid w:linePitch="360" w:charSpace="-184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Liberation Mono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ux Biolinum">
    <w:altName w:val="Times New Roman"/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charset w:val="EE"/>
    <w:family w:val="swiss"/>
    <w:pitch w:val="variable"/>
    <w:sig w:usb0="E4078EFF" w:usb1="4200FDFF" w:usb2="000030A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2EB2"/>
    <w:multiLevelType w:val="hybridMultilevel"/>
    <w:tmpl w:val="37EE2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2ED6"/>
    <w:multiLevelType w:val="hybridMultilevel"/>
    <w:tmpl w:val="08D88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EBE"/>
    <w:multiLevelType w:val="hybridMultilevel"/>
    <w:tmpl w:val="65DAD040"/>
    <w:lvl w:ilvl="0" w:tplc="22FC79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AFD41D6"/>
    <w:multiLevelType w:val="multilevel"/>
    <w:tmpl w:val="DDEAF722"/>
    <w:lvl w:ilvl="0">
      <w:start w:val="1"/>
      <w:numFmt w:val="bullet"/>
      <w:lvlText w:val=""/>
      <w:lvlJc w:val="left"/>
      <w:pPr>
        <w:tabs>
          <w:tab w:val="num" w:pos="962"/>
        </w:tabs>
        <w:ind w:left="96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22"/>
        </w:tabs>
        <w:ind w:left="132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82"/>
        </w:tabs>
        <w:ind w:left="168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42"/>
        </w:tabs>
        <w:ind w:left="204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02"/>
        </w:tabs>
        <w:ind w:left="240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62"/>
        </w:tabs>
        <w:ind w:left="276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22"/>
        </w:tabs>
        <w:ind w:left="312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82"/>
        </w:tabs>
        <w:ind w:left="348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42"/>
        </w:tabs>
        <w:ind w:left="3842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DEB1A98"/>
    <w:multiLevelType w:val="hybridMultilevel"/>
    <w:tmpl w:val="D5141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54804"/>
    <w:multiLevelType w:val="hybridMultilevel"/>
    <w:tmpl w:val="245894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11DA7"/>
    <w:multiLevelType w:val="hybridMultilevel"/>
    <w:tmpl w:val="47120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93B97"/>
    <w:multiLevelType w:val="hybridMultilevel"/>
    <w:tmpl w:val="BBF89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A79B9"/>
    <w:multiLevelType w:val="hybridMultilevel"/>
    <w:tmpl w:val="F5069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463AE"/>
    <w:multiLevelType w:val="hybridMultilevel"/>
    <w:tmpl w:val="8C0E5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2342F"/>
    <w:multiLevelType w:val="hybridMultilevel"/>
    <w:tmpl w:val="4CE8E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51226"/>
    <w:multiLevelType w:val="hybridMultilevel"/>
    <w:tmpl w:val="E60AAB80"/>
    <w:lvl w:ilvl="0" w:tplc="22FC79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96B39"/>
    <w:multiLevelType w:val="hybridMultilevel"/>
    <w:tmpl w:val="6F78F1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85121"/>
    <w:multiLevelType w:val="multilevel"/>
    <w:tmpl w:val="5F2CB948"/>
    <w:lvl w:ilvl="0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75"/>
        </w:tabs>
        <w:ind w:left="137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35"/>
        </w:tabs>
        <w:ind w:left="173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55"/>
        </w:tabs>
        <w:ind w:left="245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15"/>
        </w:tabs>
        <w:ind w:left="281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35"/>
        </w:tabs>
        <w:ind w:left="353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95"/>
        </w:tabs>
        <w:ind w:left="3895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E425CC9"/>
    <w:multiLevelType w:val="hybridMultilevel"/>
    <w:tmpl w:val="AA52B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043ED"/>
    <w:multiLevelType w:val="hybridMultilevel"/>
    <w:tmpl w:val="5DC0F6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96EB5"/>
    <w:multiLevelType w:val="hybridMultilevel"/>
    <w:tmpl w:val="E07A5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55147"/>
    <w:multiLevelType w:val="hybridMultilevel"/>
    <w:tmpl w:val="A490B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F2A2E"/>
    <w:multiLevelType w:val="hybridMultilevel"/>
    <w:tmpl w:val="BFEC5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44CE1"/>
    <w:multiLevelType w:val="hybridMultilevel"/>
    <w:tmpl w:val="3834B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76C97"/>
    <w:multiLevelType w:val="hybridMultilevel"/>
    <w:tmpl w:val="6B52A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B1D4B"/>
    <w:multiLevelType w:val="multilevel"/>
    <w:tmpl w:val="08E6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350C57A8"/>
    <w:multiLevelType w:val="hybridMultilevel"/>
    <w:tmpl w:val="ABD0C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E0961"/>
    <w:multiLevelType w:val="hybridMultilevel"/>
    <w:tmpl w:val="1FE86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25BB1"/>
    <w:multiLevelType w:val="multilevel"/>
    <w:tmpl w:val="BFB2AC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404C6BD2"/>
    <w:multiLevelType w:val="hybridMultilevel"/>
    <w:tmpl w:val="CAF6D3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786888">
      <w:start w:val="1"/>
      <w:numFmt w:val="lowerLetter"/>
      <w:lvlText w:val="%2."/>
      <w:lvlJc w:val="left"/>
      <w:pPr>
        <w:ind w:left="357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E0477"/>
    <w:multiLevelType w:val="hybridMultilevel"/>
    <w:tmpl w:val="696CD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11C02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80BFC"/>
    <w:multiLevelType w:val="hybridMultilevel"/>
    <w:tmpl w:val="F1C011D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6AF7B47"/>
    <w:multiLevelType w:val="hybridMultilevel"/>
    <w:tmpl w:val="34341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D153A"/>
    <w:multiLevelType w:val="hybridMultilevel"/>
    <w:tmpl w:val="FE04759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48082045"/>
    <w:multiLevelType w:val="hybridMultilevel"/>
    <w:tmpl w:val="75FCD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706FB"/>
    <w:multiLevelType w:val="hybridMultilevel"/>
    <w:tmpl w:val="E2A44FB0"/>
    <w:lvl w:ilvl="0" w:tplc="22FC79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52B3D"/>
    <w:multiLevelType w:val="multilevel"/>
    <w:tmpl w:val="696CD30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062DF"/>
    <w:multiLevelType w:val="hybridMultilevel"/>
    <w:tmpl w:val="804AF8BE"/>
    <w:lvl w:ilvl="0" w:tplc="C2B07F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C7981"/>
    <w:multiLevelType w:val="hybridMultilevel"/>
    <w:tmpl w:val="2FBCB16A"/>
    <w:lvl w:ilvl="0" w:tplc="22FC79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C3F6F"/>
    <w:multiLevelType w:val="hybridMultilevel"/>
    <w:tmpl w:val="81AE6552"/>
    <w:lvl w:ilvl="0" w:tplc="5CA21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97754"/>
    <w:multiLevelType w:val="hybridMultilevel"/>
    <w:tmpl w:val="47DAC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E20FE6"/>
    <w:multiLevelType w:val="hybridMultilevel"/>
    <w:tmpl w:val="58A88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1416C1"/>
    <w:multiLevelType w:val="hybridMultilevel"/>
    <w:tmpl w:val="2892E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0A5448"/>
    <w:multiLevelType w:val="hybridMultilevel"/>
    <w:tmpl w:val="081EAC9E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0" w15:restartNumberingAfterBreak="0">
    <w:nsid w:val="65C22228"/>
    <w:multiLevelType w:val="hybridMultilevel"/>
    <w:tmpl w:val="125E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1D460A"/>
    <w:multiLevelType w:val="hybridMultilevel"/>
    <w:tmpl w:val="8138BDA6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94C664C"/>
    <w:multiLevelType w:val="hybridMultilevel"/>
    <w:tmpl w:val="61CA03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7E3564"/>
    <w:multiLevelType w:val="hybridMultilevel"/>
    <w:tmpl w:val="EA266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36D49"/>
    <w:multiLevelType w:val="hybridMultilevel"/>
    <w:tmpl w:val="A42E2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B7D4C"/>
    <w:multiLevelType w:val="hybridMultilevel"/>
    <w:tmpl w:val="20DC0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D21EF"/>
    <w:multiLevelType w:val="hybridMultilevel"/>
    <w:tmpl w:val="0D968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3"/>
  </w:num>
  <w:num w:numId="4">
    <w:abstractNumId w:val="24"/>
  </w:num>
  <w:num w:numId="5">
    <w:abstractNumId w:val="36"/>
  </w:num>
  <w:num w:numId="6">
    <w:abstractNumId w:val="7"/>
  </w:num>
  <w:num w:numId="7">
    <w:abstractNumId w:val="19"/>
  </w:num>
  <w:num w:numId="8">
    <w:abstractNumId w:val="46"/>
  </w:num>
  <w:num w:numId="9">
    <w:abstractNumId w:val="23"/>
  </w:num>
  <w:num w:numId="10">
    <w:abstractNumId w:val="14"/>
  </w:num>
  <w:num w:numId="11">
    <w:abstractNumId w:val="17"/>
  </w:num>
  <w:num w:numId="12">
    <w:abstractNumId w:val="16"/>
  </w:num>
  <w:num w:numId="13">
    <w:abstractNumId w:val="5"/>
  </w:num>
  <w:num w:numId="14">
    <w:abstractNumId w:val="44"/>
  </w:num>
  <w:num w:numId="15">
    <w:abstractNumId w:val="26"/>
  </w:num>
  <w:num w:numId="16">
    <w:abstractNumId w:val="43"/>
  </w:num>
  <w:num w:numId="17">
    <w:abstractNumId w:val="32"/>
  </w:num>
  <w:num w:numId="18">
    <w:abstractNumId w:val="39"/>
  </w:num>
  <w:num w:numId="19">
    <w:abstractNumId w:val="29"/>
  </w:num>
  <w:num w:numId="20">
    <w:abstractNumId w:val="27"/>
  </w:num>
  <w:num w:numId="21">
    <w:abstractNumId w:val="30"/>
  </w:num>
  <w:num w:numId="22">
    <w:abstractNumId w:val="20"/>
  </w:num>
  <w:num w:numId="23">
    <w:abstractNumId w:val="45"/>
  </w:num>
  <w:num w:numId="24">
    <w:abstractNumId w:val="18"/>
  </w:num>
  <w:num w:numId="25">
    <w:abstractNumId w:val="40"/>
  </w:num>
  <w:num w:numId="26">
    <w:abstractNumId w:val="38"/>
  </w:num>
  <w:num w:numId="27">
    <w:abstractNumId w:val="0"/>
  </w:num>
  <w:num w:numId="28">
    <w:abstractNumId w:val="25"/>
  </w:num>
  <w:num w:numId="29">
    <w:abstractNumId w:val="6"/>
  </w:num>
  <w:num w:numId="30">
    <w:abstractNumId w:val="25"/>
    <w:lvlOverride w:ilvl="0">
      <w:lvl w:ilvl="0" w:tplc="FFFFFFFF">
        <w:start w:val="1"/>
        <w:numFmt w:val="lowerLetter"/>
        <w:lvlText w:val="%1."/>
        <w:lvlJc w:val="left"/>
        <w:pPr>
          <w:ind w:left="567" w:hanging="210"/>
        </w:pPr>
        <w:rPr>
          <w:rFonts w:hint="default"/>
        </w:rPr>
      </w:lvl>
    </w:lvlOverride>
    <w:lvlOverride w:ilvl="1">
      <w:lvl w:ilvl="1" w:tplc="8178688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25"/>
    <w:lvlOverride w:ilvl="0">
      <w:lvl w:ilvl="0" w:tplc="FFFFFFFF">
        <w:start w:val="1"/>
        <w:numFmt w:val="lowerLetter"/>
        <w:lvlText w:val="%1."/>
        <w:lvlJc w:val="left"/>
        <w:pPr>
          <w:ind w:left="454" w:firstLine="0"/>
        </w:pPr>
        <w:rPr>
          <w:rFonts w:hint="default"/>
        </w:rPr>
      </w:lvl>
    </w:lvlOverride>
    <w:lvlOverride w:ilvl="1">
      <w:lvl w:ilvl="1" w:tplc="8178688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2"/>
  </w:num>
  <w:num w:numId="33">
    <w:abstractNumId w:val="15"/>
  </w:num>
  <w:num w:numId="34">
    <w:abstractNumId w:val="35"/>
  </w:num>
  <w:num w:numId="35">
    <w:abstractNumId w:val="33"/>
  </w:num>
  <w:num w:numId="36">
    <w:abstractNumId w:val="8"/>
  </w:num>
  <w:num w:numId="37">
    <w:abstractNumId w:val="22"/>
  </w:num>
  <w:num w:numId="38">
    <w:abstractNumId w:val="10"/>
  </w:num>
  <w:num w:numId="39">
    <w:abstractNumId w:val="28"/>
  </w:num>
  <w:num w:numId="40">
    <w:abstractNumId w:val="42"/>
  </w:num>
  <w:num w:numId="41">
    <w:abstractNumId w:val="9"/>
  </w:num>
  <w:num w:numId="42">
    <w:abstractNumId w:val="41"/>
  </w:num>
  <w:num w:numId="43">
    <w:abstractNumId w:val="2"/>
  </w:num>
  <w:num w:numId="44">
    <w:abstractNumId w:val="1"/>
  </w:num>
  <w:num w:numId="45">
    <w:abstractNumId w:val="4"/>
  </w:num>
  <w:num w:numId="46">
    <w:abstractNumId w:val="34"/>
  </w:num>
  <w:num w:numId="47">
    <w:abstractNumId w:val="11"/>
  </w:num>
  <w:num w:numId="48">
    <w:abstractNumId w:val="37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E9"/>
    <w:rsid w:val="000077CB"/>
    <w:rsid w:val="000153BD"/>
    <w:rsid w:val="0004425F"/>
    <w:rsid w:val="00044D9B"/>
    <w:rsid w:val="00065A45"/>
    <w:rsid w:val="0007282D"/>
    <w:rsid w:val="00077D91"/>
    <w:rsid w:val="0008480D"/>
    <w:rsid w:val="000E2700"/>
    <w:rsid w:val="0012602C"/>
    <w:rsid w:val="00126C81"/>
    <w:rsid w:val="001374FC"/>
    <w:rsid w:val="00144772"/>
    <w:rsid w:val="00193F70"/>
    <w:rsid w:val="001B3C11"/>
    <w:rsid w:val="001D6A3E"/>
    <w:rsid w:val="001E4C47"/>
    <w:rsid w:val="00250155"/>
    <w:rsid w:val="00270CEB"/>
    <w:rsid w:val="00275895"/>
    <w:rsid w:val="0028284A"/>
    <w:rsid w:val="002965AB"/>
    <w:rsid w:val="002B0694"/>
    <w:rsid w:val="003128B9"/>
    <w:rsid w:val="00373FF0"/>
    <w:rsid w:val="003749FB"/>
    <w:rsid w:val="003950BB"/>
    <w:rsid w:val="003968B9"/>
    <w:rsid w:val="003F23F2"/>
    <w:rsid w:val="00423D4D"/>
    <w:rsid w:val="00424BE7"/>
    <w:rsid w:val="00450875"/>
    <w:rsid w:val="00456BE9"/>
    <w:rsid w:val="00457DF9"/>
    <w:rsid w:val="0048651A"/>
    <w:rsid w:val="004C3DB8"/>
    <w:rsid w:val="004C3DE7"/>
    <w:rsid w:val="004D1C77"/>
    <w:rsid w:val="004D2192"/>
    <w:rsid w:val="004D74FA"/>
    <w:rsid w:val="00520303"/>
    <w:rsid w:val="00540BC9"/>
    <w:rsid w:val="00541F14"/>
    <w:rsid w:val="005546C1"/>
    <w:rsid w:val="00580515"/>
    <w:rsid w:val="005945AB"/>
    <w:rsid w:val="005C78F0"/>
    <w:rsid w:val="005F17F8"/>
    <w:rsid w:val="00623CF4"/>
    <w:rsid w:val="00640C8E"/>
    <w:rsid w:val="0067573C"/>
    <w:rsid w:val="0069006D"/>
    <w:rsid w:val="00695AC1"/>
    <w:rsid w:val="006C0F0E"/>
    <w:rsid w:val="006C385A"/>
    <w:rsid w:val="006E5F7C"/>
    <w:rsid w:val="006E72F7"/>
    <w:rsid w:val="0071291E"/>
    <w:rsid w:val="0072554B"/>
    <w:rsid w:val="00753FF9"/>
    <w:rsid w:val="00754FE6"/>
    <w:rsid w:val="007760CB"/>
    <w:rsid w:val="007767C1"/>
    <w:rsid w:val="00791A90"/>
    <w:rsid w:val="007949F0"/>
    <w:rsid w:val="007D367D"/>
    <w:rsid w:val="00805E2D"/>
    <w:rsid w:val="00806F7C"/>
    <w:rsid w:val="00811C40"/>
    <w:rsid w:val="00815E6A"/>
    <w:rsid w:val="00851380"/>
    <w:rsid w:val="00865F2A"/>
    <w:rsid w:val="0087224B"/>
    <w:rsid w:val="00883957"/>
    <w:rsid w:val="008B0567"/>
    <w:rsid w:val="00903724"/>
    <w:rsid w:val="00920704"/>
    <w:rsid w:val="00940C4B"/>
    <w:rsid w:val="0094210C"/>
    <w:rsid w:val="00960C57"/>
    <w:rsid w:val="00974388"/>
    <w:rsid w:val="00982F2F"/>
    <w:rsid w:val="009C045C"/>
    <w:rsid w:val="009E3BA4"/>
    <w:rsid w:val="009E5CF3"/>
    <w:rsid w:val="009F0739"/>
    <w:rsid w:val="009F5C35"/>
    <w:rsid w:val="00A108BF"/>
    <w:rsid w:val="00A218FB"/>
    <w:rsid w:val="00A90483"/>
    <w:rsid w:val="00AB5D5E"/>
    <w:rsid w:val="00AC5736"/>
    <w:rsid w:val="00AE6C33"/>
    <w:rsid w:val="00B10EE1"/>
    <w:rsid w:val="00B2179A"/>
    <w:rsid w:val="00B53DFB"/>
    <w:rsid w:val="00B76419"/>
    <w:rsid w:val="00BD6FB6"/>
    <w:rsid w:val="00BE0FFA"/>
    <w:rsid w:val="00BE78E5"/>
    <w:rsid w:val="00C27805"/>
    <w:rsid w:val="00C44EAF"/>
    <w:rsid w:val="00C46685"/>
    <w:rsid w:val="00C55BAD"/>
    <w:rsid w:val="00C61953"/>
    <w:rsid w:val="00C83A0F"/>
    <w:rsid w:val="00C872FD"/>
    <w:rsid w:val="00CB5127"/>
    <w:rsid w:val="00CC21B3"/>
    <w:rsid w:val="00CE5475"/>
    <w:rsid w:val="00D315DA"/>
    <w:rsid w:val="00D40C12"/>
    <w:rsid w:val="00D6751A"/>
    <w:rsid w:val="00D9521C"/>
    <w:rsid w:val="00DC247A"/>
    <w:rsid w:val="00DF3215"/>
    <w:rsid w:val="00E06244"/>
    <w:rsid w:val="00E20FB3"/>
    <w:rsid w:val="00E25085"/>
    <w:rsid w:val="00E3673B"/>
    <w:rsid w:val="00E53F2F"/>
    <w:rsid w:val="00E54BBA"/>
    <w:rsid w:val="00E557E9"/>
    <w:rsid w:val="00E91EF1"/>
    <w:rsid w:val="00EB1C12"/>
    <w:rsid w:val="00EC0824"/>
    <w:rsid w:val="00EF4131"/>
    <w:rsid w:val="00EF50C9"/>
    <w:rsid w:val="00F076C8"/>
    <w:rsid w:val="00F311DA"/>
    <w:rsid w:val="00F53F0F"/>
    <w:rsid w:val="00F62CFC"/>
    <w:rsid w:val="00F81F3F"/>
    <w:rsid w:val="00F87D71"/>
    <w:rsid w:val="00FB46EC"/>
    <w:rsid w:val="00FC2446"/>
    <w:rsid w:val="00FC6576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7896"/>
  <w15:docId w15:val="{8C815E9A-FE5F-45DD-8025-900137D1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3190"/>
    <w:pPr>
      <w:widowControl w:val="0"/>
      <w:tabs>
        <w:tab w:val="left" w:pos="1700"/>
        <w:tab w:val="left" w:pos="2267"/>
        <w:tab w:val="left" w:pos="3401"/>
      </w:tabs>
      <w:spacing w:line="400" w:lineRule="exact"/>
      <w:ind w:firstLine="566"/>
      <w:jc w:val="both"/>
    </w:pPr>
    <w:rPr>
      <w:rFonts w:ascii="Linux Biolinum" w:hAnsi="Linux Biolinum" w:cs="Linux Biolinum"/>
      <w:color w:val="000000"/>
      <w:sz w:val="30"/>
      <w:szCs w:val="30"/>
    </w:rPr>
  </w:style>
  <w:style w:type="paragraph" w:styleId="Nadpis1">
    <w:name w:val="heading 1"/>
    <w:basedOn w:val="Normln"/>
    <w:link w:val="Nadpis1Char"/>
    <w:uiPriority w:val="9"/>
    <w:qFormat/>
    <w:rsid w:val="00BD3190"/>
    <w:pPr>
      <w:spacing w:before="240" w:after="360"/>
      <w:ind w:left="141" w:firstLine="0"/>
      <w:jc w:val="left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D3190"/>
    <w:pPr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adpis1"/>
    <w:link w:val="Nadpis3Char"/>
    <w:uiPriority w:val="9"/>
    <w:unhideWhenUsed/>
    <w:qFormat/>
    <w:rsid w:val="00BD3190"/>
    <w:pPr>
      <w:outlineLvl w:val="2"/>
    </w:pPr>
    <w:rPr>
      <w:rFonts w:ascii="Arial Black" w:hAnsi="Arial Black" w:cs="Arial Black"/>
      <w:b w:val="0"/>
      <w:bCs w:val="0"/>
      <w:color w:val="24356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BD3190"/>
    <w:rPr>
      <w:rFonts w:ascii="Cambria" w:hAnsi="Cambria"/>
      <w:b/>
      <w:bCs/>
      <w:color w:val="000000"/>
      <w:sz w:val="32"/>
      <w:szCs w:val="32"/>
    </w:rPr>
  </w:style>
  <w:style w:type="character" w:customStyle="1" w:styleId="Nadpis2Char">
    <w:name w:val="Nadpis 2 Char"/>
    <w:link w:val="Nadpis2"/>
    <w:uiPriority w:val="9"/>
    <w:qFormat/>
    <w:rsid w:val="00BD3190"/>
    <w:rPr>
      <w:rFonts w:ascii="Cambria" w:hAnsi="Cambria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BD3190"/>
    <w:rPr>
      <w:rFonts w:ascii="Arial Black" w:hAnsi="Arial Black" w:cs="Arial Black"/>
      <w:color w:val="243564"/>
      <w:sz w:val="32"/>
      <w:szCs w:val="32"/>
    </w:rPr>
  </w:style>
  <w:style w:type="character" w:styleId="Siln">
    <w:name w:val="Strong"/>
    <w:basedOn w:val="Standardnpsmoodstavce"/>
    <w:uiPriority w:val="22"/>
    <w:qFormat/>
    <w:rsid w:val="00BD3190"/>
    <w:rPr>
      <w:b/>
      <w:bCs/>
    </w:rPr>
  </w:style>
  <w:style w:type="character" w:customStyle="1" w:styleId="Zdraznn1">
    <w:name w:val="Zdůraznění1"/>
    <w:basedOn w:val="Standardnpsmoodstavce"/>
    <w:uiPriority w:val="20"/>
    <w:qFormat/>
    <w:rsid w:val="00BD3190"/>
    <w:rPr>
      <w:i/>
      <w:iCs/>
    </w:rPr>
  </w:style>
  <w:style w:type="character" w:customStyle="1" w:styleId="Internetovodkaz">
    <w:name w:val="Internetový odkaz"/>
    <w:basedOn w:val="Standardnpsmoodstavce"/>
    <w:uiPriority w:val="99"/>
    <w:unhideWhenUsed/>
    <w:rsid w:val="00453220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ascii="Times New Roman" w:hAnsi="Times New Roman"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Times New Roman" w:hAnsi="Times New Roman" w:cs="FreeSans"/>
    </w:rPr>
  </w:style>
  <w:style w:type="paragraph" w:styleId="Bezmezer">
    <w:name w:val="No Spacing"/>
    <w:uiPriority w:val="1"/>
    <w:qFormat/>
    <w:rsid w:val="00BD3190"/>
    <w:pPr>
      <w:widowControl w:val="0"/>
      <w:tabs>
        <w:tab w:val="left" w:pos="1700"/>
        <w:tab w:val="left" w:pos="2267"/>
        <w:tab w:val="left" w:pos="3401"/>
      </w:tabs>
      <w:ind w:firstLine="566"/>
      <w:jc w:val="both"/>
    </w:pPr>
    <w:rPr>
      <w:rFonts w:ascii="Linux Biolinum" w:hAnsi="Linux Biolinum" w:cs="Linux Biolinum"/>
      <w:color w:val="00000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D319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453220"/>
    <w:pPr>
      <w:widowControl/>
      <w:overflowPunct w:val="0"/>
      <w:spacing w:beforeAutospacing="1" w:afterAutospacing="1" w:line="240" w:lineRule="auto"/>
      <w:ind w:firstLine="0"/>
      <w:jc w:val="left"/>
    </w:pPr>
    <w:rPr>
      <w:rFonts w:ascii="Times New Roman" w:hAnsi="Times New Roman" w:cs="Times New Roman"/>
      <w:color w:val="00000A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210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4210C"/>
    <w:rPr>
      <w:color w:val="800080" w:themeColor="followedHyperlink"/>
      <w:u w:val="single"/>
    </w:rPr>
  </w:style>
  <w:style w:type="paragraph" w:customStyle="1" w:styleId="Default">
    <w:name w:val="Default"/>
    <w:rsid w:val="00DC247A"/>
    <w:pPr>
      <w:autoSpaceDE w:val="0"/>
      <w:autoSpaceDN w:val="0"/>
      <w:adjustRightInd w:val="0"/>
    </w:pPr>
    <w:rPr>
      <w:rFonts w:ascii="Linux Biolinum" w:hAnsi="Linux Biolinum" w:cs="Linux Biolin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inance.cz/duchody-a-davky/kalkulacky-a-aplikace/prispevek-na-bydlen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0657-8481-4B3F-8876-239C6CA1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903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Jasinský</dc:creator>
  <cp:lastModifiedBy>Uživatel</cp:lastModifiedBy>
  <cp:revision>3</cp:revision>
  <dcterms:created xsi:type="dcterms:W3CDTF">2021-07-23T10:41:00Z</dcterms:created>
  <dcterms:modified xsi:type="dcterms:W3CDTF">2021-07-23T10:56:00Z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