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7E9" w:rsidRPr="00E53F2F" w:rsidRDefault="00E06244">
      <w:pPr>
        <w:widowControl/>
        <w:overflowPunct w:val="0"/>
        <w:spacing w:beforeAutospacing="1" w:afterAutospacing="1" w:line="240" w:lineRule="auto"/>
        <w:ind w:firstLine="0"/>
        <w:jc w:val="center"/>
        <w:outlineLvl w:val="0"/>
        <w:rPr>
          <w:rFonts w:ascii="Times New Roman" w:hAnsi="Times New Roman" w:cs="Times New Roman"/>
        </w:rPr>
      </w:pPr>
      <w:r w:rsidRPr="00E53F2F">
        <w:rPr>
          <w:rFonts w:ascii="Times New Roman" w:hAnsi="Times New Roman" w:cs="Times New Roman"/>
          <w:b/>
          <w:bCs/>
          <w:color w:val="00000A"/>
          <w:sz w:val="48"/>
          <w:szCs w:val="48"/>
          <w:lang w:eastAsia="cs-CZ"/>
        </w:rPr>
        <w:t>Informace a odpovědi na dotazy ze Sociáln</w:t>
      </w:r>
      <w:r w:rsidR="004D1C77" w:rsidRPr="00E53F2F">
        <w:rPr>
          <w:rFonts w:ascii="Times New Roman" w:hAnsi="Times New Roman" w:cs="Times New Roman"/>
          <w:b/>
          <w:bCs/>
          <w:color w:val="00000A"/>
          <w:sz w:val="48"/>
          <w:szCs w:val="48"/>
          <w:lang w:eastAsia="cs-CZ"/>
        </w:rPr>
        <w:t xml:space="preserve">ě právní poradny SONS v Praze </w:t>
      </w:r>
      <w:r w:rsidR="002961DE">
        <w:rPr>
          <w:rFonts w:ascii="Times New Roman" w:hAnsi="Times New Roman" w:cs="Times New Roman"/>
          <w:b/>
          <w:bCs/>
          <w:color w:val="00000A"/>
          <w:sz w:val="48"/>
          <w:szCs w:val="48"/>
          <w:lang w:eastAsia="cs-CZ"/>
        </w:rPr>
        <w:t>10</w:t>
      </w:r>
      <w:r w:rsidR="005546C1" w:rsidRPr="00E53F2F">
        <w:rPr>
          <w:rFonts w:ascii="Times New Roman" w:hAnsi="Times New Roman" w:cs="Times New Roman"/>
          <w:b/>
          <w:bCs/>
          <w:color w:val="00000A"/>
          <w:sz w:val="48"/>
          <w:szCs w:val="48"/>
          <w:lang w:eastAsia="cs-CZ"/>
        </w:rPr>
        <w:t>/2019</w:t>
      </w:r>
    </w:p>
    <w:p w:rsidR="00E54BBA" w:rsidRPr="00E53F2F" w:rsidRDefault="00250155" w:rsidP="0071291E">
      <w:pPr>
        <w:widowControl/>
        <w:overflowPunct w:val="0"/>
        <w:spacing w:before="100" w:beforeAutospacing="1" w:after="100" w:afterAutospacing="1" w:line="240" w:lineRule="auto"/>
        <w:ind w:firstLine="0"/>
        <w:rPr>
          <w:rFonts w:ascii="Times New Roman" w:hAnsi="Times New Roman" w:cs="Times New Roman"/>
          <w:sz w:val="24"/>
          <w:szCs w:val="24"/>
        </w:rPr>
      </w:pPr>
      <w:r w:rsidRPr="00250155">
        <w:rPr>
          <w:rFonts w:ascii="Times New Roman" w:hAnsi="Times New Roman" w:cs="Times New Roman"/>
          <w:color w:val="00000A"/>
          <w:sz w:val="24"/>
          <w:szCs w:val="24"/>
          <w:lang w:eastAsia="cs-CZ"/>
        </w:rPr>
        <w:t>V první části článku najdete krátké</w:t>
      </w:r>
      <w:r>
        <w:rPr>
          <w:rFonts w:ascii="Times New Roman" w:hAnsi="Times New Roman" w:cs="Times New Roman"/>
          <w:color w:val="00000A"/>
          <w:sz w:val="24"/>
          <w:szCs w:val="24"/>
          <w:lang w:eastAsia="cs-CZ"/>
        </w:rPr>
        <w:t>,</w:t>
      </w:r>
      <w:r w:rsidRPr="00250155">
        <w:rPr>
          <w:rFonts w:ascii="Times New Roman" w:hAnsi="Times New Roman" w:cs="Times New Roman"/>
          <w:color w:val="00000A"/>
          <w:sz w:val="24"/>
          <w:szCs w:val="24"/>
          <w:lang w:eastAsia="cs-CZ"/>
        </w:rPr>
        <w:t xml:space="preserve"> ale důležité upozornění pro uživatele bílých holí. Protože minule jsme se věnovali vymáhání neuspokojených pohledávek z pohledu dlužníků, vzala si kolegyně Václava Baudišová v druhé části na paškál obdobné situace, nyní však z opačné strany, tedy optikou věřitelů.</w:t>
      </w:r>
      <w:bookmarkStart w:id="0" w:name="_GoBack"/>
      <w:bookmarkEnd w:id="0"/>
    </w:p>
    <w:p w:rsidR="00815E6A" w:rsidRDefault="003104D1" w:rsidP="00250155">
      <w:pPr>
        <w:widowControl/>
        <w:numPr>
          <w:ilvl w:val="0"/>
          <w:numId w:val="1"/>
        </w:numPr>
        <w:overflowPunct w:val="0"/>
        <w:spacing w:beforeAutospacing="1" w:afterAutospacing="1" w:line="240" w:lineRule="auto"/>
        <w:rPr>
          <w:rFonts w:ascii="Times New Roman" w:hAnsi="Times New Roman" w:cs="Times New Roman"/>
          <w:sz w:val="24"/>
          <w:szCs w:val="24"/>
        </w:rPr>
      </w:pPr>
      <w:hyperlink w:anchor="Upozorneni_pro_uzivatele_bilych_holi" w:history="1">
        <w:r w:rsidR="00250155" w:rsidRPr="00AB5D5E">
          <w:rPr>
            <w:rStyle w:val="Hypertextovodkaz"/>
            <w:rFonts w:ascii="Times New Roman" w:hAnsi="Times New Roman" w:cs="Times New Roman"/>
            <w:sz w:val="24"/>
            <w:szCs w:val="24"/>
          </w:rPr>
          <w:t>Důležité upozornění pro uživatele bílých holí</w:t>
        </w:r>
      </w:hyperlink>
    </w:p>
    <w:p w:rsidR="00815E6A" w:rsidRDefault="003104D1" w:rsidP="00250155">
      <w:pPr>
        <w:widowControl/>
        <w:numPr>
          <w:ilvl w:val="0"/>
          <w:numId w:val="1"/>
        </w:numPr>
        <w:overflowPunct w:val="0"/>
        <w:spacing w:beforeAutospacing="1" w:afterAutospacing="1" w:line="240" w:lineRule="auto"/>
        <w:rPr>
          <w:rFonts w:ascii="Times New Roman" w:hAnsi="Times New Roman" w:cs="Times New Roman"/>
          <w:sz w:val="24"/>
          <w:szCs w:val="24"/>
        </w:rPr>
      </w:pPr>
      <w:hyperlink w:anchor="Pravo_z_pohledu_veritele" w:history="1">
        <w:r w:rsidR="00250155" w:rsidRPr="00AB5D5E">
          <w:rPr>
            <w:rStyle w:val="Hypertextovodkaz"/>
            <w:rFonts w:ascii="Times New Roman" w:hAnsi="Times New Roman" w:cs="Times New Roman"/>
            <w:sz w:val="24"/>
            <w:szCs w:val="24"/>
          </w:rPr>
          <w:t>Právo z pohledu věřitele</w:t>
        </w:r>
      </w:hyperlink>
    </w:p>
    <w:p w:rsidR="00250155" w:rsidRPr="00250155" w:rsidRDefault="003104D1" w:rsidP="00EC40A3">
      <w:pPr>
        <w:widowControl/>
        <w:numPr>
          <w:ilvl w:val="1"/>
          <w:numId w:val="1"/>
        </w:numPr>
        <w:tabs>
          <w:tab w:val="clear" w:pos="1440"/>
          <w:tab w:val="num" w:pos="1276"/>
        </w:tabs>
        <w:overflowPunct w:val="0"/>
        <w:spacing w:beforeAutospacing="1" w:afterAutospacing="1" w:line="240" w:lineRule="auto"/>
        <w:ind w:left="1134"/>
        <w:rPr>
          <w:rFonts w:ascii="Times New Roman" w:hAnsi="Times New Roman" w:cs="Times New Roman"/>
          <w:sz w:val="24"/>
          <w:szCs w:val="24"/>
        </w:rPr>
      </w:pPr>
      <w:hyperlink w:anchor="Penezita_pujcka" w:history="1">
        <w:r w:rsidR="00250155" w:rsidRPr="00AB5D5E">
          <w:rPr>
            <w:rStyle w:val="Hypertextovodkaz"/>
            <w:rFonts w:ascii="Times New Roman" w:hAnsi="Times New Roman" w:cs="Times New Roman"/>
            <w:sz w:val="24"/>
            <w:szCs w:val="24"/>
          </w:rPr>
          <w:t>Peněžitá půjčka</w:t>
        </w:r>
      </w:hyperlink>
    </w:p>
    <w:p w:rsidR="00250155" w:rsidRPr="00250155" w:rsidRDefault="003104D1" w:rsidP="00EC40A3">
      <w:pPr>
        <w:widowControl/>
        <w:numPr>
          <w:ilvl w:val="1"/>
          <w:numId w:val="1"/>
        </w:numPr>
        <w:tabs>
          <w:tab w:val="clear" w:pos="1440"/>
          <w:tab w:val="num" w:pos="1276"/>
        </w:tabs>
        <w:overflowPunct w:val="0"/>
        <w:spacing w:beforeAutospacing="1" w:afterAutospacing="1" w:line="240" w:lineRule="auto"/>
        <w:ind w:left="1134"/>
        <w:rPr>
          <w:rFonts w:ascii="Times New Roman" w:hAnsi="Times New Roman" w:cs="Times New Roman"/>
          <w:sz w:val="24"/>
          <w:szCs w:val="24"/>
        </w:rPr>
      </w:pPr>
      <w:hyperlink w:anchor="Jine_smlouvy" w:history="1">
        <w:r w:rsidR="00250155" w:rsidRPr="00AB5D5E">
          <w:rPr>
            <w:rStyle w:val="Hypertextovodkaz"/>
            <w:rFonts w:ascii="Times New Roman" w:hAnsi="Times New Roman" w:cs="Times New Roman"/>
            <w:sz w:val="24"/>
            <w:szCs w:val="24"/>
          </w:rPr>
          <w:t>Jiné smlouvy</w:t>
        </w:r>
      </w:hyperlink>
    </w:p>
    <w:p w:rsidR="00250155" w:rsidRPr="00250155" w:rsidRDefault="003104D1" w:rsidP="00EC40A3">
      <w:pPr>
        <w:widowControl/>
        <w:numPr>
          <w:ilvl w:val="1"/>
          <w:numId w:val="1"/>
        </w:numPr>
        <w:tabs>
          <w:tab w:val="clear" w:pos="1440"/>
          <w:tab w:val="num" w:pos="1276"/>
        </w:tabs>
        <w:overflowPunct w:val="0"/>
        <w:spacing w:beforeAutospacing="1" w:afterAutospacing="1" w:line="240" w:lineRule="auto"/>
        <w:ind w:left="1134"/>
        <w:rPr>
          <w:rFonts w:ascii="Times New Roman" w:hAnsi="Times New Roman" w:cs="Times New Roman"/>
          <w:sz w:val="24"/>
          <w:szCs w:val="24"/>
        </w:rPr>
      </w:pPr>
      <w:hyperlink w:anchor="Poskozeny_v_trestni_veci_nebo_dedic" w:history="1">
        <w:r w:rsidR="00250155" w:rsidRPr="00AB5D5E">
          <w:rPr>
            <w:rStyle w:val="Hypertextovodkaz"/>
            <w:rFonts w:ascii="Times New Roman" w:hAnsi="Times New Roman" w:cs="Times New Roman"/>
            <w:sz w:val="24"/>
            <w:szCs w:val="24"/>
          </w:rPr>
          <w:t>Poškozený v trestní věci nebo dědic</w:t>
        </w:r>
      </w:hyperlink>
    </w:p>
    <w:p w:rsidR="00250155" w:rsidRPr="00815E6A" w:rsidRDefault="003104D1" w:rsidP="00EC40A3">
      <w:pPr>
        <w:widowControl/>
        <w:numPr>
          <w:ilvl w:val="1"/>
          <w:numId w:val="1"/>
        </w:numPr>
        <w:tabs>
          <w:tab w:val="clear" w:pos="1440"/>
          <w:tab w:val="num" w:pos="1276"/>
        </w:tabs>
        <w:overflowPunct w:val="0"/>
        <w:spacing w:beforeAutospacing="1" w:afterAutospacing="1" w:line="240" w:lineRule="auto"/>
        <w:ind w:left="1134"/>
        <w:rPr>
          <w:rFonts w:ascii="Times New Roman" w:hAnsi="Times New Roman" w:cs="Times New Roman"/>
          <w:sz w:val="24"/>
          <w:szCs w:val="24"/>
        </w:rPr>
      </w:pPr>
      <w:hyperlink w:anchor="Vymahani_dluhu" w:history="1">
        <w:r w:rsidR="00250155" w:rsidRPr="00AB5D5E">
          <w:rPr>
            <w:rStyle w:val="Hypertextovodkaz"/>
            <w:rFonts w:ascii="Times New Roman" w:hAnsi="Times New Roman" w:cs="Times New Roman"/>
            <w:sz w:val="24"/>
            <w:szCs w:val="24"/>
          </w:rPr>
          <w:t>Vymáhání dluhu</w:t>
        </w:r>
      </w:hyperlink>
    </w:p>
    <w:p w:rsidR="00815E6A" w:rsidRPr="00E53F2F" w:rsidRDefault="00250155" w:rsidP="00AB5D5E">
      <w:pPr>
        <w:widowControl/>
        <w:overflowPunct w:val="0"/>
        <w:spacing w:before="100" w:beforeAutospacing="1" w:after="100" w:afterAutospacing="1" w:line="240" w:lineRule="auto"/>
        <w:ind w:firstLine="0"/>
        <w:outlineLvl w:val="1"/>
        <w:rPr>
          <w:rFonts w:ascii="Times New Roman" w:hAnsi="Times New Roman" w:cs="Times New Roman"/>
          <w:b/>
          <w:bCs/>
          <w:color w:val="00000A"/>
          <w:sz w:val="36"/>
          <w:szCs w:val="36"/>
          <w:lang w:eastAsia="cs-CZ"/>
        </w:rPr>
      </w:pPr>
      <w:bookmarkStart w:id="1" w:name="Upozorneni_pro_uzivatele_bilych_holi"/>
      <w:r w:rsidRPr="00250155">
        <w:rPr>
          <w:rFonts w:ascii="Times New Roman" w:hAnsi="Times New Roman" w:cs="Times New Roman"/>
          <w:b/>
          <w:bCs/>
          <w:color w:val="00000A"/>
          <w:sz w:val="36"/>
          <w:szCs w:val="36"/>
          <w:lang w:eastAsia="cs-CZ"/>
        </w:rPr>
        <w:t>Důležité upozornění pro uživatele bílých holí</w:t>
      </w:r>
    </w:p>
    <w:bookmarkEnd w:id="1"/>
    <w:p w:rsidR="00AB5D5E" w:rsidRDefault="00250155" w:rsidP="00815E6A">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250155">
        <w:rPr>
          <w:rFonts w:ascii="Times New Roman" w:hAnsi="Times New Roman" w:cs="Times New Roman"/>
          <w:color w:val="00000A"/>
          <w:sz w:val="24"/>
          <w:szCs w:val="24"/>
          <w:lang w:eastAsia="cs-CZ"/>
        </w:rPr>
        <w:t>Z minulých článků již víte, že kolem úhrad bílých holí z veřejného zdravotního pojištění probíhala mnohá jednání, jež vyústila v kompromis, který jsme pod</w:t>
      </w:r>
      <w:r w:rsidR="00AB5D5E">
        <w:rPr>
          <w:rFonts w:ascii="Times New Roman" w:hAnsi="Times New Roman" w:cs="Times New Roman"/>
          <w:color w:val="00000A"/>
          <w:sz w:val="24"/>
          <w:szCs w:val="24"/>
          <w:lang w:eastAsia="cs-CZ"/>
        </w:rPr>
        <w:t>robně popsali v článku 07/2019.</w:t>
      </w:r>
    </w:p>
    <w:p w:rsidR="001E4C47" w:rsidRDefault="00250155" w:rsidP="00815E6A">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250155">
        <w:rPr>
          <w:rFonts w:ascii="Times New Roman" w:hAnsi="Times New Roman" w:cs="Times New Roman"/>
          <w:color w:val="00000A"/>
          <w:sz w:val="24"/>
          <w:szCs w:val="24"/>
          <w:lang w:eastAsia="cs-CZ"/>
        </w:rPr>
        <w:t xml:space="preserve">Řešení lze stručně shrnout tak, že </w:t>
      </w:r>
      <w:r w:rsidRPr="00AB5D5E">
        <w:rPr>
          <w:rFonts w:ascii="Times New Roman" w:hAnsi="Times New Roman" w:cs="Times New Roman"/>
          <w:b/>
          <w:color w:val="00000A"/>
          <w:sz w:val="24"/>
          <w:szCs w:val="24"/>
          <w:lang w:eastAsia="cs-CZ"/>
        </w:rPr>
        <w:t>pojišťovny budou hradit všechny typy bílých holí signalizačních a orientačních</w:t>
      </w:r>
      <w:r w:rsidRPr="00250155">
        <w:rPr>
          <w:rFonts w:ascii="Times New Roman" w:hAnsi="Times New Roman" w:cs="Times New Roman"/>
          <w:color w:val="00000A"/>
          <w:sz w:val="24"/>
          <w:szCs w:val="24"/>
          <w:lang w:eastAsia="cs-CZ"/>
        </w:rPr>
        <w:t xml:space="preserve">, u bílých holí opěrných došlo k navýšení úhrady, ale na některé typy holí v této kategorií si pojištěnci budou muset částku </w:t>
      </w:r>
      <w:r w:rsidRPr="00AB5D5E">
        <w:rPr>
          <w:rFonts w:ascii="Times New Roman" w:hAnsi="Times New Roman" w:cs="Times New Roman"/>
          <w:color w:val="00000A"/>
          <w:sz w:val="24"/>
          <w:szCs w:val="24"/>
          <w:u w:val="single"/>
          <w:lang w:eastAsia="cs-CZ"/>
        </w:rPr>
        <w:t>v řádu stokorun doplatit</w:t>
      </w:r>
      <w:r w:rsidRPr="00250155">
        <w:rPr>
          <w:rFonts w:ascii="Times New Roman" w:hAnsi="Times New Roman" w:cs="Times New Roman"/>
          <w:color w:val="00000A"/>
          <w:sz w:val="24"/>
          <w:szCs w:val="24"/>
          <w:lang w:eastAsia="cs-CZ"/>
        </w:rPr>
        <w:t>. Dohodnutý kompromis se však musí stát součástí zákona. Jeho návrh v současnosti prochází meziresortním připomínkovým řízením, po vypořádání připomínek návrh musí schválit vláda a poslat jej do Poslanecké sněmovny, která jej po schválení odešle do Senátu, a tak dále. Zkrátka, Nenastanou-li v legislativním procesu neočekávané komplikace, počítá se s nabytím účinnosti této novely v polovině roku 2020, n</w:t>
      </w:r>
      <w:r w:rsidR="001E4C47">
        <w:rPr>
          <w:rFonts w:ascii="Times New Roman" w:hAnsi="Times New Roman" w:cs="Times New Roman"/>
          <w:color w:val="00000A"/>
          <w:sz w:val="24"/>
          <w:szCs w:val="24"/>
          <w:lang w:eastAsia="cs-CZ"/>
        </w:rPr>
        <w:t>e dříve. Co to v praxi znamená?</w:t>
      </w:r>
    </w:p>
    <w:p w:rsidR="00815E6A" w:rsidRDefault="00250155" w:rsidP="00815E6A">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250155">
        <w:rPr>
          <w:rFonts w:ascii="Times New Roman" w:hAnsi="Times New Roman" w:cs="Times New Roman"/>
          <w:color w:val="00000A"/>
          <w:sz w:val="24"/>
          <w:szCs w:val="24"/>
          <w:lang w:eastAsia="cs-CZ"/>
        </w:rPr>
        <w:t>Od 1. prosince tohoto roku začnou platit pravidla, podle kterých bude úhrada pojišťoven u</w:t>
      </w:r>
      <w:r w:rsidR="001E4C47">
        <w:rPr>
          <w:rFonts w:ascii="Times New Roman" w:hAnsi="Times New Roman" w:cs="Times New Roman"/>
          <w:color w:val="00000A"/>
          <w:sz w:val="24"/>
          <w:szCs w:val="24"/>
          <w:lang w:eastAsia="cs-CZ"/>
        </w:rPr>
        <w:t> </w:t>
      </w:r>
      <w:r w:rsidRPr="00250155">
        <w:rPr>
          <w:rFonts w:ascii="Times New Roman" w:hAnsi="Times New Roman" w:cs="Times New Roman"/>
          <w:color w:val="00000A"/>
          <w:sz w:val="24"/>
          <w:szCs w:val="24"/>
          <w:lang w:eastAsia="cs-CZ"/>
        </w:rPr>
        <w:t>bílých holí v</w:t>
      </w:r>
      <w:r>
        <w:rPr>
          <w:rFonts w:ascii="Times New Roman" w:hAnsi="Times New Roman" w:cs="Times New Roman"/>
          <w:color w:val="00000A"/>
          <w:sz w:val="24"/>
          <w:szCs w:val="24"/>
          <w:lang w:eastAsia="cs-CZ"/>
        </w:rPr>
        <w:t> </w:t>
      </w:r>
      <w:r w:rsidRPr="00250155">
        <w:rPr>
          <w:rFonts w:ascii="Times New Roman" w:hAnsi="Times New Roman" w:cs="Times New Roman"/>
          <w:color w:val="00000A"/>
          <w:sz w:val="24"/>
          <w:szCs w:val="24"/>
          <w:lang w:eastAsia="cs-CZ"/>
        </w:rPr>
        <w:t>nižších částkách, než za kolik budou hole prodávány. Proto doporučuji všem, kdo vědí, že jejich hůl dosluhuje, aby s pořízením nové hole neváhali; od 1. prosince do doby, než nabude účinnosti kýžená novela, by si museli připlatit.</w:t>
      </w:r>
    </w:p>
    <w:p w:rsidR="00815E6A" w:rsidRPr="00815E6A" w:rsidRDefault="00250155" w:rsidP="00815E6A">
      <w:pPr>
        <w:widowControl/>
        <w:overflowPunct w:val="0"/>
        <w:spacing w:before="100" w:beforeAutospacing="1" w:after="100" w:afterAutospacing="1" w:line="240" w:lineRule="auto"/>
        <w:ind w:firstLine="0"/>
        <w:outlineLvl w:val="1"/>
        <w:rPr>
          <w:rFonts w:ascii="Times New Roman" w:hAnsi="Times New Roman" w:cs="Times New Roman"/>
          <w:b/>
          <w:bCs/>
          <w:color w:val="00000A"/>
          <w:sz w:val="36"/>
          <w:szCs w:val="36"/>
          <w:lang w:eastAsia="cs-CZ"/>
        </w:rPr>
      </w:pPr>
      <w:bookmarkStart w:id="2" w:name="Pravo_z_pohledu_veritele"/>
      <w:r w:rsidRPr="00250155">
        <w:rPr>
          <w:rFonts w:ascii="Times New Roman" w:hAnsi="Times New Roman" w:cs="Times New Roman"/>
          <w:b/>
          <w:bCs/>
          <w:color w:val="00000A"/>
          <w:sz w:val="36"/>
          <w:szCs w:val="36"/>
          <w:lang w:eastAsia="cs-CZ"/>
        </w:rPr>
        <w:t>Právo z pohledu věřitele</w:t>
      </w:r>
    </w:p>
    <w:bookmarkEnd w:id="2"/>
    <w:p w:rsidR="00FC6576" w:rsidRDefault="00EB1C12" w:rsidP="00EB1C12">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EB1C12">
        <w:rPr>
          <w:rFonts w:ascii="Times New Roman" w:hAnsi="Times New Roman" w:cs="Times New Roman"/>
          <w:color w:val="00000A"/>
          <w:sz w:val="24"/>
          <w:szCs w:val="24"/>
          <w:lang w:eastAsia="cs-CZ"/>
        </w:rPr>
        <w:t>Dostali jsme dotaz, lépe řečeno poučený komentář k nejistému postavení věřitele. Tématu jsme se dotkli již dříve v článcích o exekucích a insolvencích. Bylo by totiž vhodné, aby se ve veřejné debatě o nich kyvadlo také vrátilo na druhou stranu, protože někdy se zdá, že dlužník je j</w:t>
      </w:r>
      <w:r w:rsidR="00FC6576">
        <w:rPr>
          <w:rFonts w:ascii="Times New Roman" w:hAnsi="Times New Roman" w:cs="Times New Roman"/>
          <w:color w:val="00000A"/>
          <w:sz w:val="24"/>
          <w:szCs w:val="24"/>
          <w:lang w:eastAsia="cs-CZ"/>
        </w:rPr>
        <w:t xml:space="preserve">akýsi nový </w:t>
      </w:r>
      <w:r w:rsidR="00FC6576" w:rsidRPr="00806F7C">
        <w:rPr>
          <w:rFonts w:ascii="Times New Roman" w:hAnsi="Times New Roman" w:cs="Times New Roman"/>
          <w:i/>
          <w:color w:val="00000A"/>
          <w:sz w:val="24"/>
          <w:szCs w:val="24"/>
          <w:lang w:eastAsia="cs-CZ"/>
        </w:rPr>
        <w:t>„hrdina naší doby“</w:t>
      </w:r>
      <w:r w:rsidR="00FC6576">
        <w:rPr>
          <w:rFonts w:ascii="Times New Roman" w:hAnsi="Times New Roman" w:cs="Times New Roman"/>
          <w:color w:val="00000A"/>
          <w:sz w:val="24"/>
          <w:szCs w:val="24"/>
          <w:lang w:eastAsia="cs-CZ"/>
        </w:rPr>
        <w:t xml:space="preserve">. </w:t>
      </w:r>
      <w:r w:rsidRPr="00FC6576">
        <w:rPr>
          <w:rFonts w:ascii="Times New Roman" w:hAnsi="Times New Roman" w:cs="Times New Roman"/>
          <w:color w:val="00000A"/>
          <w:sz w:val="24"/>
          <w:szCs w:val="24"/>
          <w:u w:val="single"/>
          <w:lang w:eastAsia="cs-CZ"/>
        </w:rPr>
        <w:t>Věřitel přece není jen obskurní poskytovatel hromadných půjček s lichvářským úrokem a skrytými poplatky za cokoliv nebo jiný typ tzv. šmejda, který si za svoje opovrženíhodné praktiky zaslouží tvrdý postih, tak jak to často popisují média.</w:t>
      </w:r>
      <w:r w:rsidRPr="00EB1C12">
        <w:rPr>
          <w:rFonts w:ascii="Times New Roman" w:hAnsi="Times New Roman" w:cs="Times New Roman"/>
          <w:color w:val="00000A"/>
          <w:sz w:val="24"/>
          <w:szCs w:val="24"/>
          <w:lang w:eastAsia="cs-CZ"/>
        </w:rPr>
        <w:t xml:space="preserve"> </w:t>
      </w:r>
    </w:p>
    <w:p w:rsidR="00EB1C12" w:rsidRPr="00EB1C12" w:rsidRDefault="00EB1C12" w:rsidP="00EB1C12">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EB1C12">
        <w:rPr>
          <w:rFonts w:ascii="Times New Roman" w:hAnsi="Times New Roman" w:cs="Times New Roman"/>
          <w:color w:val="00000A"/>
          <w:sz w:val="24"/>
          <w:szCs w:val="24"/>
          <w:lang w:eastAsia="cs-CZ"/>
        </w:rPr>
        <w:t>Věřitelé – to jsou i ti, kteří peníze půjčili z dobré vůle, nedostali to, za co zaplatili nebo naopak nedostali zaplaceno za svoji práci či zboží, případně se dokonce stali obětí trestného činu. Bohužel se v důsledku mimořádně vlídného přístupu k dlužníkům ocitli v jednom pytli s</w:t>
      </w:r>
      <w:r w:rsidR="00D315DA">
        <w:rPr>
          <w:rFonts w:ascii="Times New Roman" w:hAnsi="Times New Roman" w:cs="Times New Roman"/>
          <w:color w:val="00000A"/>
          <w:sz w:val="24"/>
          <w:szCs w:val="24"/>
          <w:lang w:eastAsia="cs-CZ"/>
        </w:rPr>
        <w:t> </w:t>
      </w:r>
      <w:r w:rsidRPr="00EB1C12">
        <w:rPr>
          <w:rFonts w:ascii="Times New Roman" w:hAnsi="Times New Roman" w:cs="Times New Roman"/>
          <w:color w:val="00000A"/>
          <w:sz w:val="24"/>
          <w:szCs w:val="24"/>
          <w:lang w:eastAsia="cs-CZ"/>
        </w:rPr>
        <w:t xml:space="preserve">neseriózními věřiteli. Nevymahatelnost takových dluhů je pak pořádnou ranou právnímu státu. Máme Listinu základních práv a svobod, podle které zaměstnanci mají právo na </w:t>
      </w:r>
      <w:r w:rsidRPr="00EB1C12">
        <w:rPr>
          <w:rFonts w:ascii="Times New Roman" w:hAnsi="Times New Roman" w:cs="Times New Roman"/>
          <w:color w:val="00000A"/>
          <w:sz w:val="24"/>
          <w:szCs w:val="24"/>
          <w:lang w:eastAsia="cs-CZ"/>
        </w:rPr>
        <w:lastRenderedPageBreak/>
        <w:t xml:space="preserve">spravedlivou odměnu za práci. Máme základní zásady občanského zákoníku, které stanoví, že daný slib zavazuje a smlouvy mají být splněny, každý má povinnost jednat v právním styku poctivě a nikdo nesmí těžit ze svého nepoctivého nebo protiprávního činu.  Máme řadu dalších paragrafů, které tato proklamativní ustanovení podrobně rozvádějí.  Co je to ale všechno platné, když dlužník neplatí? </w:t>
      </w:r>
    </w:p>
    <w:p w:rsidR="00250155" w:rsidRDefault="00EB1C12" w:rsidP="00EB1C12">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EB1C12">
        <w:rPr>
          <w:rFonts w:ascii="Times New Roman" w:hAnsi="Times New Roman" w:cs="Times New Roman"/>
          <w:color w:val="00000A"/>
          <w:sz w:val="24"/>
          <w:szCs w:val="24"/>
          <w:lang w:eastAsia="cs-CZ"/>
        </w:rPr>
        <w:t>Doporučuji proto preventivně dodržovat toto základní minimum:</w:t>
      </w:r>
    </w:p>
    <w:p w:rsidR="00EB1C12" w:rsidRPr="00D315DA" w:rsidRDefault="00EB1C12" w:rsidP="00EB1C12">
      <w:pPr>
        <w:widowControl/>
        <w:overflowPunct w:val="0"/>
        <w:spacing w:before="100" w:beforeAutospacing="1" w:after="100" w:afterAutospacing="1" w:line="240" w:lineRule="auto"/>
        <w:ind w:firstLine="0"/>
        <w:rPr>
          <w:rFonts w:ascii="Times New Roman" w:hAnsi="Times New Roman" w:cs="Times New Roman"/>
          <w:b/>
          <w:color w:val="00000A"/>
          <w:sz w:val="24"/>
          <w:szCs w:val="24"/>
          <w:u w:val="single"/>
          <w:lang w:eastAsia="cs-CZ"/>
        </w:rPr>
      </w:pPr>
      <w:bookmarkStart w:id="3" w:name="Penezita_pujcka"/>
      <w:r w:rsidRPr="00D315DA">
        <w:rPr>
          <w:rFonts w:ascii="Times New Roman" w:hAnsi="Times New Roman" w:cs="Times New Roman"/>
          <w:b/>
          <w:color w:val="00000A"/>
          <w:sz w:val="24"/>
          <w:szCs w:val="24"/>
          <w:u w:val="single"/>
          <w:lang w:eastAsia="cs-CZ"/>
        </w:rPr>
        <w:t>Peněžitá půjčka</w:t>
      </w:r>
    </w:p>
    <w:bookmarkEnd w:id="3"/>
    <w:p w:rsidR="00811C40" w:rsidRDefault="00EB1C12" w:rsidP="00940C4B">
      <w:pPr>
        <w:pStyle w:val="Odstavecseseznamem"/>
        <w:widowControl/>
        <w:numPr>
          <w:ilvl w:val="0"/>
          <w:numId w:val="18"/>
        </w:numPr>
        <w:overflowPunct w:val="0"/>
        <w:spacing w:before="100" w:beforeAutospacing="1" w:after="100" w:afterAutospacing="1" w:line="240" w:lineRule="auto"/>
        <w:ind w:left="426"/>
        <w:rPr>
          <w:rFonts w:ascii="Times New Roman" w:hAnsi="Times New Roman" w:cs="Times New Roman"/>
          <w:color w:val="00000A"/>
          <w:sz w:val="24"/>
          <w:szCs w:val="24"/>
          <w:lang w:eastAsia="cs-CZ"/>
        </w:rPr>
      </w:pPr>
      <w:r w:rsidRPr="00D315DA">
        <w:rPr>
          <w:rFonts w:ascii="Times New Roman" w:hAnsi="Times New Roman" w:cs="Times New Roman"/>
          <w:color w:val="00000A"/>
          <w:sz w:val="24"/>
          <w:szCs w:val="24"/>
          <w:lang w:eastAsia="cs-CZ"/>
        </w:rPr>
        <w:t>před tím, než někomu poskytnete půjčku, prověřit jakoukoliv fyzickou i právnickou osobu:</w:t>
      </w:r>
    </w:p>
    <w:p w:rsidR="00811C40" w:rsidRDefault="00EB1C12" w:rsidP="00940C4B">
      <w:pPr>
        <w:pStyle w:val="Odstavecseseznamem"/>
        <w:widowControl/>
        <w:numPr>
          <w:ilvl w:val="1"/>
          <w:numId w:val="18"/>
        </w:numPr>
        <w:tabs>
          <w:tab w:val="clear" w:pos="1700"/>
        </w:tabs>
        <w:overflowPunct w:val="0"/>
        <w:spacing w:before="100" w:beforeAutospacing="1" w:after="100" w:afterAutospacing="1" w:line="240" w:lineRule="auto"/>
        <w:ind w:left="851"/>
        <w:rPr>
          <w:rFonts w:ascii="Times New Roman" w:hAnsi="Times New Roman" w:cs="Times New Roman"/>
          <w:color w:val="00000A"/>
          <w:sz w:val="24"/>
          <w:szCs w:val="24"/>
          <w:lang w:eastAsia="cs-CZ"/>
        </w:rPr>
      </w:pPr>
      <w:r w:rsidRPr="00811C40">
        <w:rPr>
          <w:rFonts w:ascii="Times New Roman" w:hAnsi="Times New Roman" w:cs="Times New Roman"/>
          <w:color w:val="00000A"/>
          <w:sz w:val="24"/>
          <w:szCs w:val="24"/>
          <w:lang w:eastAsia="cs-CZ"/>
        </w:rPr>
        <w:t>za 60 Kč nahlédnout do centrální evidence exekucí na odkazu</w:t>
      </w:r>
      <w:r w:rsidR="00811C40">
        <w:rPr>
          <w:rFonts w:ascii="Times New Roman" w:hAnsi="Times New Roman" w:cs="Times New Roman"/>
          <w:color w:val="00000A"/>
          <w:sz w:val="24"/>
          <w:szCs w:val="24"/>
          <w:lang w:eastAsia="cs-CZ"/>
        </w:rPr>
        <w:t xml:space="preserve"> </w:t>
      </w:r>
      <w:hyperlink r:id="rId7" w:history="1">
        <w:r w:rsidR="00811C40" w:rsidRPr="00CA55FA">
          <w:rPr>
            <w:rStyle w:val="Hypertextovodkaz"/>
            <w:rFonts w:ascii="Times New Roman" w:hAnsi="Times New Roman" w:cs="Times New Roman"/>
            <w:sz w:val="24"/>
            <w:szCs w:val="24"/>
            <w:lang w:eastAsia="cs-CZ"/>
          </w:rPr>
          <w:t>https://www.ekcr.cz/1/centralni-evidence-exekuci/22-centralni-evidence-exekuci?w</w:t>
        </w:r>
      </w:hyperlink>
    </w:p>
    <w:p w:rsidR="00811C40" w:rsidRDefault="00EB1C12" w:rsidP="00940C4B">
      <w:pPr>
        <w:pStyle w:val="Odstavecseseznamem"/>
        <w:widowControl/>
        <w:numPr>
          <w:ilvl w:val="1"/>
          <w:numId w:val="18"/>
        </w:numPr>
        <w:tabs>
          <w:tab w:val="clear" w:pos="1700"/>
        </w:tabs>
        <w:overflowPunct w:val="0"/>
        <w:spacing w:before="100" w:beforeAutospacing="1" w:after="100" w:afterAutospacing="1" w:line="240" w:lineRule="auto"/>
        <w:ind w:left="851"/>
        <w:rPr>
          <w:rFonts w:ascii="Times New Roman" w:hAnsi="Times New Roman" w:cs="Times New Roman"/>
          <w:color w:val="00000A"/>
          <w:sz w:val="24"/>
          <w:szCs w:val="24"/>
          <w:lang w:eastAsia="cs-CZ"/>
        </w:rPr>
      </w:pPr>
      <w:r w:rsidRPr="00811C40">
        <w:rPr>
          <w:rFonts w:ascii="Times New Roman" w:hAnsi="Times New Roman" w:cs="Times New Roman"/>
          <w:color w:val="00000A"/>
          <w:sz w:val="24"/>
          <w:szCs w:val="24"/>
          <w:lang w:eastAsia="cs-CZ"/>
        </w:rPr>
        <w:t xml:space="preserve">bezplatně nahlédnout do insolvenčního rejstříku na stránce </w:t>
      </w:r>
      <w:hyperlink r:id="rId8" w:history="1">
        <w:r w:rsidR="00811C40" w:rsidRPr="00CA55FA">
          <w:rPr>
            <w:rStyle w:val="Hypertextovodkaz"/>
            <w:rFonts w:ascii="Times New Roman" w:hAnsi="Times New Roman" w:cs="Times New Roman"/>
            <w:sz w:val="24"/>
            <w:szCs w:val="24"/>
            <w:lang w:eastAsia="cs-CZ"/>
          </w:rPr>
          <w:t>www.justice.cz</w:t>
        </w:r>
      </w:hyperlink>
    </w:p>
    <w:p w:rsidR="00811C40" w:rsidRDefault="00EB1C12" w:rsidP="00940C4B">
      <w:pPr>
        <w:pStyle w:val="Odstavecseseznamem"/>
        <w:widowControl/>
        <w:numPr>
          <w:ilvl w:val="0"/>
          <w:numId w:val="18"/>
        </w:numPr>
        <w:overflowPunct w:val="0"/>
        <w:spacing w:before="100" w:beforeAutospacing="1" w:after="100" w:afterAutospacing="1" w:line="240" w:lineRule="auto"/>
        <w:ind w:left="426"/>
        <w:rPr>
          <w:rFonts w:ascii="Times New Roman" w:hAnsi="Times New Roman" w:cs="Times New Roman"/>
          <w:color w:val="00000A"/>
          <w:sz w:val="24"/>
          <w:szCs w:val="24"/>
          <w:lang w:eastAsia="cs-CZ"/>
        </w:rPr>
      </w:pPr>
      <w:r w:rsidRPr="00811C40">
        <w:rPr>
          <w:rFonts w:ascii="Times New Roman" w:hAnsi="Times New Roman" w:cs="Times New Roman"/>
          <w:color w:val="00000A"/>
          <w:sz w:val="24"/>
          <w:szCs w:val="24"/>
          <w:lang w:eastAsia="cs-CZ"/>
        </w:rPr>
        <w:t xml:space="preserve">do insolvenčního rejstříku pak bezplatně nahlížet pravidelně alespoň jednou za měsíc nebo využít bezplatný automatický monitoring rejstříku například na stránce </w:t>
      </w:r>
      <w:hyperlink r:id="rId9" w:history="1">
        <w:r w:rsidR="00811C40" w:rsidRPr="00CA55FA">
          <w:rPr>
            <w:rStyle w:val="Hypertextovodkaz"/>
            <w:rFonts w:ascii="Times New Roman" w:hAnsi="Times New Roman" w:cs="Times New Roman"/>
            <w:sz w:val="24"/>
            <w:szCs w:val="24"/>
            <w:lang w:eastAsia="cs-CZ"/>
          </w:rPr>
          <w:t>https://pv.pecina.cz/</w:t>
        </w:r>
      </w:hyperlink>
    </w:p>
    <w:p w:rsidR="00811C40" w:rsidRDefault="00EB1C12" w:rsidP="00940C4B">
      <w:pPr>
        <w:pStyle w:val="Odstavecseseznamem"/>
        <w:widowControl/>
        <w:numPr>
          <w:ilvl w:val="0"/>
          <w:numId w:val="18"/>
        </w:numPr>
        <w:overflowPunct w:val="0"/>
        <w:spacing w:before="100" w:beforeAutospacing="1" w:after="100" w:afterAutospacing="1" w:line="240" w:lineRule="auto"/>
        <w:ind w:left="426"/>
        <w:rPr>
          <w:rFonts w:ascii="Times New Roman" w:hAnsi="Times New Roman" w:cs="Times New Roman"/>
          <w:color w:val="00000A"/>
          <w:sz w:val="24"/>
          <w:szCs w:val="24"/>
          <w:lang w:eastAsia="cs-CZ"/>
        </w:rPr>
      </w:pPr>
      <w:r w:rsidRPr="00811C40">
        <w:rPr>
          <w:rFonts w:ascii="Times New Roman" w:hAnsi="Times New Roman" w:cs="Times New Roman"/>
          <w:color w:val="00000A"/>
          <w:sz w:val="24"/>
          <w:szCs w:val="24"/>
          <w:lang w:eastAsia="cs-CZ"/>
        </w:rPr>
        <w:t>je-li dlužníkovi povoleno oddlužení, nejpozději do dvou měsíců od zveřejnění usnesení soudu písemně na předepsaném formuláři přihlásit pohledávku do insolvenčního řízení, jinak se k ní nepřihlíží.</w:t>
      </w:r>
    </w:p>
    <w:p w:rsidR="00811C40" w:rsidRDefault="00EB1C12" w:rsidP="00940C4B">
      <w:pPr>
        <w:pStyle w:val="Odstavecseseznamem"/>
        <w:widowControl/>
        <w:numPr>
          <w:ilvl w:val="0"/>
          <w:numId w:val="18"/>
        </w:numPr>
        <w:overflowPunct w:val="0"/>
        <w:spacing w:before="100" w:beforeAutospacing="1" w:after="100" w:afterAutospacing="1" w:line="240" w:lineRule="auto"/>
        <w:ind w:left="426"/>
        <w:rPr>
          <w:rFonts w:ascii="Times New Roman" w:hAnsi="Times New Roman" w:cs="Times New Roman"/>
          <w:color w:val="00000A"/>
          <w:sz w:val="24"/>
          <w:szCs w:val="24"/>
          <w:lang w:eastAsia="cs-CZ"/>
        </w:rPr>
      </w:pPr>
      <w:r w:rsidRPr="00811C40">
        <w:rPr>
          <w:rFonts w:ascii="Times New Roman" w:hAnsi="Times New Roman" w:cs="Times New Roman"/>
          <w:color w:val="00000A"/>
          <w:sz w:val="24"/>
          <w:szCs w:val="24"/>
          <w:lang w:eastAsia="cs-CZ"/>
        </w:rPr>
        <w:t>smlouvu uzavřít písemně: stačí označit smluvní strany, uvést výši půjčky, její splatnost, tj. do kdy nejpozději má být dluh vrácen, a nezapomenout na datum. Pokud je sjednáno plnění ve splátkách, je možné sjednat tzv. ztrátu výhody splátek, což znamená, že při nedodržení termínu jedné splátky se stává splatným celý dluh; toto právo však věřitel může využít jen do splatnosti další splátky.</w:t>
      </w:r>
    </w:p>
    <w:p w:rsidR="00811C40" w:rsidRDefault="00EB1C12" w:rsidP="00940C4B">
      <w:pPr>
        <w:pStyle w:val="Odstavecseseznamem"/>
        <w:widowControl/>
        <w:numPr>
          <w:ilvl w:val="0"/>
          <w:numId w:val="18"/>
        </w:numPr>
        <w:overflowPunct w:val="0"/>
        <w:spacing w:before="100" w:beforeAutospacing="1" w:after="100" w:afterAutospacing="1" w:line="240" w:lineRule="auto"/>
        <w:ind w:left="426"/>
        <w:rPr>
          <w:rFonts w:ascii="Times New Roman" w:hAnsi="Times New Roman" w:cs="Times New Roman"/>
          <w:color w:val="00000A"/>
          <w:sz w:val="24"/>
          <w:szCs w:val="24"/>
          <w:lang w:eastAsia="cs-CZ"/>
        </w:rPr>
      </w:pPr>
      <w:r w:rsidRPr="00811C40">
        <w:rPr>
          <w:rFonts w:ascii="Times New Roman" w:hAnsi="Times New Roman" w:cs="Times New Roman"/>
          <w:color w:val="00000A"/>
          <w:sz w:val="24"/>
          <w:szCs w:val="24"/>
          <w:lang w:eastAsia="cs-CZ"/>
        </w:rPr>
        <w:t>hlídat promlčení: dnem následujícím po splatnosti dluhu respektive každé jednotlivé splátky dluhu začíná běžet obecná tříletá promlčecí doba. U půjček s nesjednaným termínem splatnosti je dluh splatný na požádání věřitele a tříletá promlčecí doba začíná běžet již ode dne následujícího od uzavření smlouvy. Uplatněním práva u</w:t>
      </w:r>
      <w:r w:rsidR="00811C40">
        <w:rPr>
          <w:rFonts w:ascii="Times New Roman" w:hAnsi="Times New Roman" w:cs="Times New Roman"/>
          <w:color w:val="00000A"/>
          <w:sz w:val="24"/>
          <w:szCs w:val="24"/>
          <w:lang w:eastAsia="cs-CZ"/>
        </w:rPr>
        <w:t> </w:t>
      </w:r>
      <w:r w:rsidRPr="00811C40">
        <w:rPr>
          <w:rFonts w:ascii="Times New Roman" w:hAnsi="Times New Roman" w:cs="Times New Roman"/>
          <w:color w:val="00000A"/>
          <w:sz w:val="24"/>
          <w:szCs w:val="24"/>
          <w:lang w:eastAsia="cs-CZ"/>
        </w:rPr>
        <w:t>soudu v</w:t>
      </w:r>
      <w:r w:rsidR="00940C4B">
        <w:rPr>
          <w:rFonts w:ascii="Times New Roman" w:hAnsi="Times New Roman" w:cs="Times New Roman"/>
          <w:color w:val="00000A"/>
          <w:sz w:val="24"/>
          <w:szCs w:val="24"/>
          <w:lang w:eastAsia="cs-CZ"/>
        </w:rPr>
        <w:t> </w:t>
      </w:r>
      <w:r w:rsidRPr="00811C40">
        <w:rPr>
          <w:rFonts w:ascii="Times New Roman" w:hAnsi="Times New Roman" w:cs="Times New Roman"/>
          <w:color w:val="00000A"/>
          <w:sz w:val="24"/>
          <w:szCs w:val="24"/>
          <w:lang w:eastAsia="cs-CZ"/>
        </w:rPr>
        <w:t>promlčecí době se promlčení staví. I promlčený dluh lze uplatnit u soudu, ale namítne-li zde dlužník důvodně promlčení, nemůže soud věřiteli jeho právo přiznat. Na druhou stranu plnění na promlčený dluh je zcela po právu a nelze je úspěšně požadovat zpět.</w:t>
      </w:r>
    </w:p>
    <w:p w:rsidR="00811C40" w:rsidRDefault="00EB1C12" w:rsidP="00940C4B">
      <w:pPr>
        <w:pStyle w:val="Odstavecseseznamem"/>
        <w:widowControl/>
        <w:numPr>
          <w:ilvl w:val="0"/>
          <w:numId w:val="18"/>
        </w:numPr>
        <w:overflowPunct w:val="0"/>
        <w:spacing w:before="100" w:beforeAutospacing="1" w:after="100" w:afterAutospacing="1" w:line="240" w:lineRule="auto"/>
        <w:ind w:left="426"/>
        <w:rPr>
          <w:rFonts w:ascii="Times New Roman" w:hAnsi="Times New Roman" w:cs="Times New Roman"/>
          <w:color w:val="00000A"/>
          <w:sz w:val="24"/>
          <w:szCs w:val="24"/>
          <w:lang w:eastAsia="cs-CZ"/>
        </w:rPr>
      </w:pPr>
      <w:r w:rsidRPr="00811C40">
        <w:rPr>
          <w:rFonts w:ascii="Times New Roman" w:hAnsi="Times New Roman" w:cs="Times New Roman"/>
          <w:color w:val="00000A"/>
          <w:sz w:val="24"/>
          <w:szCs w:val="24"/>
          <w:lang w:eastAsia="cs-CZ"/>
        </w:rPr>
        <w:t>jedná-li se o půjčku blízkému člověku, kde vyžadovat písemnou formu půjčky je věřiteli trapné, peníze převést bezhotovostně na účet druhé strany s poznámkou, že jde o</w:t>
      </w:r>
      <w:r w:rsidR="00940C4B">
        <w:rPr>
          <w:rFonts w:ascii="Times New Roman" w:hAnsi="Times New Roman" w:cs="Times New Roman"/>
          <w:color w:val="00000A"/>
          <w:sz w:val="24"/>
          <w:szCs w:val="24"/>
          <w:lang w:eastAsia="cs-CZ"/>
        </w:rPr>
        <w:t> </w:t>
      </w:r>
      <w:r w:rsidRPr="00811C40">
        <w:rPr>
          <w:rFonts w:ascii="Times New Roman" w:hAnsi="Times New Roman" w:cs="Times New Roman"/>
          <w:color w:val="00000A"/>
          <w:sz w:val="24"/>
          <w:szCs w:val="24"/>
          <w:lang w:eastAsia="cs-CZ"/>
        </w:rPr>
        <w:t>poskytnutí půjčky.</w:t>
      </w:r>
    </w:p>
    <w:p w:rsidR="00811C40" w:rsidRDefault="00EB1C12" w:rsidP="00940C4B">
      <w:pPr>
        <w:pStyle w:val="Odstavecseseznamem"/>
        <w:widowControl/>
        <w:numPr>
          <w:ilvl w:val="0"/>
          <w:numId w:val="18"/>
        </w:numPr>
        <w:overflowPunct w:val="0"/>
        <w:spacing w:before="100" w:beforeAutospacing="1" w:after="100" w:afterAutospacing="1" w:line="240" w:lineRule="auto"/>
        <w:ind w:left="426"/>
        <w:rPr>
          <w:rFonts w:ascii="Times New Roman" w:hAnsi="Times New Roman" w:cs="Times New Roman"/>
          <w:color w:val="00000A"/>
          <w:sz w:val="24"/>
          <w:szCs w:val="24"/>
          <w:lang w:eastAsia="cs-CZ"/>
        </w:rPr>
      </w:pPr>
      <w:r w:rsidRPr="00811C40">
        <w:rPr>
          <w:rFonts w:ascii="Times New Roman" w:hAnsi="Times New Roman" w:cs="Times New Roman"/>
          <w:color w:val="00000A"/>
          <w:sz w:val="24"/>
          <w:szCs w:val="24"/>
          <w:lang w:eastAsia="cs-CZ"/>
        </w:rPr>
        <w:t>vyšší částku zajistit – nejběžněji ručením, přistoupením dalšího dlužníka k dluhu, dohodou o srážkách ze mzdy přímo k rukám věřitele nebo zřízením zástavního práva k</w:t>
      </w:r>
      <w:r w:rsidR="00940C4B">
        <w:rPr>
          <w:rFonts w:ascii="Times New Roman" w:hAnsi="Times New Roman" w:cs="Times New Roman"/>
          <w:color w:val="00000A"/>
          <w:sz w:val="24"/>
          <w:szCs w:val="24"/>
          <w:lang w:eastAsia="cs-CZ"/>
        </w:rPr>
        <w:t> </w:t>
      </w:r>
      <w:r w:rsidRPr="00811C40">
        <w:rPr>
          <w:rFonts w:ascii="Times New Roman" w:hAnsi="Times New Roman" w:cs="Times New Roman"/>
          <w:color w:val="00000A"/>
          <w:sz w:val="24"/>
          <w:szCs w:val="24"/>
          <w:lang w:eastAsia="cs-CZ"/>
        </w:rPr>
        <w:t>nemovité či movité věci (nemusí se přitom jednat o věc ve vlastnictví dlužníka). Zástavní právo k nemovité věci je nutné zapsat do katastru nemovitostí. Ke vzniku zástavního práva k movité věci je nezbytné, aby ji měl věřitel u sebe.</w:t>
      </w:r>
    </w:p>
    <w:p w:rsidR="00811C40" w:rsidRDefault="00EB1C12" w:rsidP="00940C4B">
      <w:pPr>
        <w:pStyle w:val="Odstavecseseznamem"/>
        <w:widowControl/>
        <w:numPr>
          <w:ilvl w:val="0"/>
          <w:numId w:val="18"/>
        </w:numPr>
        <w:overflowPunct w:val="0"/>
        <w:spacing w:before="100" w:beforeAutospacing="1" w:after="100" w:afterAutospacing="1" w:line="240" w:lineRule="auto"/>
        <w:ind w:left="426"/>
        <w:rPr>
          <w:rFonts w:ascii="Times New Roman" w:hAnsi="Times New Roman" w:cs="Times New Roman"/>
          <w:color w:val="00000A"/>
          <w:sz w:val="24"/>
          <w:szCs w:val="24"/>
          <w:lang w:eastAsia="cs-CZ"/>
        </w:rPr>
      </w:pPr>
      <w:r w:rsidRPr="00811C40">
        <w:rPr>
          <w:rFonts w:ascii="Times New Roman" w:hAnsi="Times New Roman" w:cs="Times New Roman"/>
          <w:color w:val="00000A"/>
          <w:sz w:val="24"/>
          <w:szCs w:val="24"/>
          <w:lang w:eastAsia="cs-CZ"/>
        </w:rPr>
        <w:t>není-li k půjčce žádný písemný důkaz, vyžádat si na dlužníkovi písemné uznání dluhu – jedná se o další způsob zajištění závazku, jehož podstatnými náležitostmi je výslovné uznání dluhu co do důvodu a co do výše a prohlášení dlužníka, do kdy závazek splatí. Řádným uznáním dluhu začíná běžet nová desetiletá promlčecí lhůta.</w:t>
      </w:r>
    </w:p>
    <w:p w:rsidR="00EB1C12" w:rsidRDefault="00EB1C12" w:rsidP="00940C4B">
      <w:pPr>
        <w:pStyle w:val="Odstavecseseznamem"/>
        <w:widowControl/>
        <w:numPr>
          <w:ilvl w:val="0"/>
          <w:numId w:val="18"/>
        </w:numPr>
        <w:overflowPunct w:val="0"/>
        <w:spacing w:before="100" w:beforeAutospacing="1" w:after="100" w:afterAutospacing="1" w:line="240" w:lineRule="auto"/>
        <w:ind w:left="426"/>
        <w:rPr>
          <w:rFonts w:ascii="Times New Roman" w:hAnsi="Times New Roman" w:cs="Times New Roman"/>
          <w:color w:val="00000A"/>
          <w:sz w:val="24"/>
          <w:szCs w:val="24"/>
          <w:lang w:eastAsia="cs-CZ"/>
        </w:rPr>
      </w:pPr>
      <w:r w:rsidRPr="00811C40">
        <w:rPr>
          <w:rFonts w:ascii="Times New Roman" w:hAnsi="Times New Roman" w:cs="Times New Roman"/>
          <w:color w:val="00000A"/>
          <w:sz w:val="24"/>
          <w:szCs w:val="24"/>
          <w:lang w:eastAsia="cs-CZ"/>
        </w:rPr>
        <w:t>samostatnou kapitolou jsou směnky – soudní řízení o jejich zaplacení je sice velice rychlé díky tomu, že žalobce nemusí nic dokazovat, naproti tomu právě tento fakt znamená přísné formální požadavky na správnou podobu směnky.</w:t>
      </w:r>
    </w:p>
    <w:p w:rsidR="00806F7C" w:rsidRDefault="00806F7C" w:rsidP="00806F7C">
      <w:pPr>
        <w:widowControl/>
        <w:overflowPunct w:val="0"/>
        <w:spacing w:before="100" w:beforeAutospacing="1" w:after="100" w:afterAutospacing="1" w:line="240" w:lineRule="auto"/>
        <w:rPr>
          <w:rFonts w:ascii="Times New Roman" w:hAnsi="Times New Roman" w:cs="Times New Roman"/>
          <w:color w:val="00000A"/>
          <w:sz w:val="24"/>
          <w:szCs w:val="24"/>
          <w:lang w:eastAsia="cs-CZ"/>
        </w:rPr>
      </w:pPr>
    </w:p>
    <w:p w:rsidR="00806F7C" w:rsidRPr="00806F7C" w:rsidRDefault="00806F7C" w:rsidP="00806F7C">
      <w:pPr>
        <w:widowControl/>
        <w:overflowPunct w:val="0"/>
        <w:spacing w:before="100" w:beforeAutospacing="1" w:after="100" w:afterAutospacing="1" w:line="240" w:lineRule="auto"/>
        <w:rPr>
          <w:rFonts w:ascii="Times New Roman" w:hAnsi="Times New Roman" w:cs="Times New Roman"/>
          <w:color w:val="00000A"/>
          <w:sz w:val="24"/>
          <w:szCs w:val="24"/>
          <w:lang w:eastAsia="cs-CZ"/>
        </w:rPr>
      </w:pPr>
    </w:p>
    <w:p w:rsidR="00EB1C12" w:rsidRPr="00811C40" w:rsidRDefault="00EB1C12" w:rsidP="00EB1C12">
      <w:pPr>
        <w:widowControl/>
        <w:overflowPunct w:val="0"/>
        <w:spacing w:before="100" w:beforeAutospacing="1" w:after="100" w:afterAutospacing="1" w:line="240" w:lineRule="auto"/>
        <w:ind w:firstLine="0"/>
        <w:rPr>
          <w:rFonts w:ascii="Times New Roman" w:hAnsi="Times New Roman" w:cs="Times New Roman"/>
          <w:b/>
          <w:color w:val="00000A"/>
          <w:sz w:val="24"/>
          <w:szCs w:val="24"/>
          <w:u w:val="single"/>
          <w:lang w:eastAsia="cs-CZ"/>
        </w:rPr>
      </w:pPr>
      <w:bookmarkStart w:id="4" w:name="Jine_smlouvy"/>
      <w:r w:rsidRPr="00811C40">
        <w:rPr>
          <w:rFonts w:ascii="Times New Roman" w:hAnsi="Times New Roman" w:cs="Times New Roman"/>
          <w:b/>
          <w:color w:val="00000A"/>
          <w:sz w:val="24"/>
          <w:szCs w:val="24"/>
          <w:u w:val="single"/>
          <w:lang w:eastAsia="cs-CZ"/>
        </w:rPr>
        <w:t>Jiné smlouvy</w:t>
      </w:r>
    </w:p>
    <w:bookmarkEnd w:id="4"/>
    <w:p w:rsidR="00EB1C12" w:rsidRDefault="00EB1C12" w:rsidP="00EB1C12">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EB1C12">
        <w:rPr>
          <w:rFonts w:ascii="Times New Roman" w:hAnsi="Times New Roman" w:cs="Times New Roman"/>
          <w:color w:val="00000A"/>
          <w:sz w:val="24"/>
          <w:szCs w:val="24"/>
          <w:lang w:eastAsia="cs-CZ"/>
        </w:rPr>
        <w:t xml:space="preserve">Např. nájemní smlouva, smlouva o dílo, pracovní smlouva, kupní smlouva - zde bych zdůraznila dnes nutnou obezřetnost před podvodnými e-shopy, jejichž poznávacím znamením je požadavek na platby předem bez jiných možností a neexistence jakéhokoliv zákaznického hodnocení. V poslední době také pozor na falešné prodejce drahých vstupenek. Ověřit e-shop lze například na odkazu  </w:t>
      </w:r>
      <w:hyperlink r:id="rId10" w:history="1">
        <w:r w:rsidR="00811C40" w:rsidRPr="00CA55FA">
          <w:rPr>
            <w:rStyle w:val="Hypertextovodkaz"/>
            <w:rFonts w:ascii="Times New Roman" w:hAnsi="Times New Roman" w:cs="Times New Roman"/>
            <w:sz w:val="24"/>
            <w:szCs w:val="24"/>
            <w:lang w:eastAsia="cs-CZ"/>
          </w:rPr>
          <w:t>www.dtest.cz/eshopy</w:t>
        </w:r>
      </w:hyperlink>
    </w:p>
    <w:p w:rsidR="00811C40" w:rsidRDefault="00EB1C12" w:rsidP="00EB1C12">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EB1C12">
        <w:rPr>
          <w:rFonts w:ascii="Times New Roman" w:hAnsi="Times New Roman" w:cs="Times New Roman"/>
          <w:color w:val="00000A"/>
          <w:sz w:val="24"/>
          <w:szCs w:val="24"/>
          <w:lang w:eastAsia="cs-CZ"/>
        </w:rPr>
        <w:t>Při koupi nemovitosti je dnes již samozřejmostí úschova kupní ceny do doby vkladu vlastnického práva kupujícího do katastru nemovitostí buď u realitní kanceláře nebo u</w:t>
      </w:r>
      <w:r w:rsidR="00940C4B">
        <w:rPr>
          <w:rFonts w:ascii="Times New Roman" w:hAnsi="Times New Roman" w:cs="Times New Roman"/>
          <w:color w:val="00000A"/>
          <w:sz w:val="24"/>
          <w:szCs w:val="24"/>
          <w:lang w:eastAsia="cs-CZ"/>
        </w:rPr>
        <w:t> </w:t>
      </w:r>
      <w:r w:rsidRPr="00EB1C12">
        <w:rPr>
          <w:rFonts w:ascii="Times New Roman" w:hAnsi="Times New Roman" w:cs="Times New Roman"/>
          <w:color w:val="00000A"/>
          <w:sz w:val="24"/>
          <w:szCs w:val="24"/>
          <w:lang w:eastAsia="cs-CZ"/>
        </w:rPr>
        <w:t>advokáta či notáře, ale vzhledem k některým otřesným případům zpronevěry úschov ti nejopatrnější volí úschovu bankovní, i když je dražší. Nechvalně známí jsou třeba již bývalý advokát a spolupracovník realitní kanceláře Reality 21 Miloš Vlasák nebo také již bývalý advokát Milan Holomek.</w:t>
      </w:r>
    </w:p>
    <w:p w:rsidR="00811C40" w:rsidRDefault="00EB1C12" w:rsidP="00EB1C12">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EB1C12">
        <w:rPr>
          <w:rFonts w:ascii="Times New Roman" w:hAnsi="Times New Roman" w:cs="Times New Roman"/>
          <w:color w:val="00000A"/>
          <w:sz w:val="24"/>
          <w:szCs w:val="24"/>
          <w:lang w:eastAsia="cs-CZ"/>
        </w:rPr>
        <w:t>Zvláštní oblastí je dluh na nezaplacené mzdě, který lze řešit současně žalobou v</w:t>
      </w:r>
      <w:r w:rsidR="00940C4B">
        <w:rPr>
          <w:rFonts w:ascii="Times New Roman" w:hAnsi="Times New Roman" w:cs="Times New Roman"/>
          <w:color w:val="00000A"/>
          <w:sz w:val="24"/>
          <w:szCs w:val="24"/>
          <w:lang w:eastAsia="cs-CZ"/>
        </w:rPr>
        <w:t> </w:t>
      </w:r>
      <w:r w:rsidRPr="00EB1C12">
        <w:rPr>
          <w:rFonts w:ascii="Times New Roman" w:hAnsi="Times New Roman" w:cs="Times New Roman"/>
          <w:color w:val="00000A"/>
          <w:sz w:val="24"/>
          <w:szCs w:val="24"/>
          <w:lang w:eastAsia="cs-CZ"/>
        </w:rPr>
        <w:t>občanskoprávním řízení, dále ve správním řízení oznámením místně příslušnému inspektorátu práce podle zákona o inspekci práce (protože nevyplacení mzdy je podle tohoto zákona správním deliktem) a konečně podáním insolvenčního návrhu na zaměstnavatele – právnickou osobu, existuje-li prokazatelně nejméně jeden další věřitel. Podmínkou je, že pohledávky musí být alespoň 30 dnů po splatnosti a dlužník je neplní po dobu delší 3 měsíců po splatnosti. Jde-li o dlužnou mzdu, má navrhující věřitel výhodu, že nemusí platit zálohu na náklady insolvenčního řízení. Kromě toho při platební neschopnosti zaměstnavatele může zaměstnanec alespoň částečně uplatnit své mzdové nároky u úřadu práce nejpozději do 5</w:t>
      </w:r>
      <w:r w:rsidR="00940C4B">
        <w:rPr>
          <w:rFonts w:ascii="Times New Roman" w:hAnsi="Times New Roman" w:cs="Times New Roman"/>
          <w:color w:val="00000A"/>
          <w:sz w:val="24"/>
          <w:szCs w:val="24"/>
          <w:lang w:eastAsia="cs-CZ"/>
        </w:rPr>
        <w:t> </w:t>
      </w:r>
      <w:r w:rsidRPr="00EB1C12">
        <w:rPr>
          <w:rFonts w:ascii="Times New Roman" w:hAnsi="Times New Roman" w:cs="Times New Roman"/>
          <w:color w:val="00000A"/>
          <w:sz w:val="24"/>
          <w:szCs w:val="24"/>
          <w:lang w:eastAsia="cs-CZ"/>
        </w:rPr>
        <w:t xml:space="preserve">měsíců a 15 kalendářních dnů následujících po dni, kdy byl podán insolvenční návrh. Více na  </w:t>
      </w:r>
      <w:hyperlink r:id="rId11" w:history="1">
        <w:r w:rsidR="00811C40" w:rsidRPr="00CA55FA">
          <w:rPr>
            <w:rStyle w:val="Hypertextovodkaz"/>
            <w:rFonts w:ascii="Times New Roman" w:hAnsi="Times New Roman" w:cs="Times New Roman"/>
            <w:sz w:val="24"/>
            <w:szCs w:val="24"/>
            <w:lang w:eastAsia="cs-CZ"/>
          </w:rPr>
          <w:t>https://portal.mpsv.cz/sz/obcane/insolvence/ins_prava</w:t>
        </w:r>
      </w:hyperlink>
    </w:p>
    <w:p w:rsidR="00EB1C12" w:rsidRPr="00EB1C12" w:rsidRDefault="00EB1C12" w:rsidP="00EB1C12">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EB1C12">
        <w:rPr>
          <w:rFonts w:ascii="Times New Roman" w:hAnsi="Times New Roman" w:cs="Times New Roman"/>
          <w:color w:val="00000A"/>
          <w:sz w:val="24"/>
          <w:szCs w:val="24"/>
          <w:lang w:eastAsia="cs-CZ"/>
        </w:rPr>
        <w:t xml:space="preserve">Obvyklým dlužníkem je společnost s ručením omezeným, která, jak už plyne z názvu, ručí </w:t>
      </w:r>
      <w:r w:rsidRPr="00806F7C">
        <w:rPr>
          <w:rFonts w:ascii="Times New Roman" w:hAnsi="Times New Roman" w:cs="Times New Roman"/>
          <w:i/>
          <w:color w:val="00000A"/>
          <w:sz w:val="24"/>
          <w:szCs w:val="24"/>
          <w:lang w:eastAsia="cs-CZ"/>
        </w:rPr>
        <w:t>„omezeně“</w:t>
      </w:r>
      <w:r w:rsidRPr="00EB1C12">
        <w:rPr>
          <w:rFonts w:ascii="Times New Roman" w:hAnsi="Times New Roman" w:cs="Times New Roman"/>
          <w:color w:val="00000A"/>
          <w:sz w:val="24"/>
          <w:szCs w:val="24"/>
          <w:lang w:eastAsia="cs-CZ"/>
        </w:rPr>
        <w:t>. Často v takové společnosti nezůstanou žádná aktiva a stejný společník si založí společnost novou a bez dluhů, případně ještě předtím zadluženou společnost převede na bílého koně. Pokud je u takové společnosti zjištěn úpadek, má se za to, že současný i bývalý jednatel případně i majitelé společnosti měli a mohli vědět, že společnost je v úpadku a</w:t>
      </w:r>
      <w:r w:rsidR="00940C4B">
        <w:rPr>
          <w:rFonts w:ascii="Times New Roman" w:hAnsi="Times New Roman" w:cs="Times New Roman"/>
          <w:color w:val="00000A"/>
          <w:sz w:val="24"/>
          <w:szCs w:val="24"/>
          <w:lang w:eastAsia="cs-CZ"/>
        </w:rPr>
        <w:t> </w:t>
      </w:r>
      <w:r w:rsidRPr="00EB1C12">
        <w:rPr>
          <w:rFonts w:ascii="Times New Roman" w:hAnsi="Times New Roman" w:cs="Times New Roman"/>
          <w:color w:val="00000A"/>
          <w:sz w:val="24"/>
          <w:szCs w:val="24"/>
          <w:lang w:eastAsia="cs-CZ"/>
        </w:rPr>
        <w:t>v</w:t>
      </w:r>
      <w:r w:rsidR="00940C4B">
        <w:rPr>
          <w:rFonts w:ascii="Times New Roman" w:hAnsi="Times New Roman" w:cs="Times New Roman"/>
          <w:color w:val="00000A"/>
          <w:sz w:val="24"/>
          <w:szCs w:val="24"/>
          <w:lang w:eastAsia="cs-CZ"/>
        </w:rPr>
        <w:t> </w:t>
      </w:r>
      <w:r w:rsidRPr="00EB1C12">
        <w:rPr>
          <w:rFonts w:ascii="Times New Roman" w:hAnsi="Times New Roman" w:cs="Times New Roman"/>
          <w:color w:val="00000A"/>
          <w:sz w:val="24"/>
          <w:szCs w:val="24"/>
          <w:lang w:eastAsia="cs-CZ"/>
        </w:rPr>
        <w:t>rozporu s péčí řádného hospodáře neučinili za účelem jeho odvrácení vše potřebné a</w:t>
      </w:r>
      <w:r w:rsidR="00940C4B">
        <w:rPr>
          <w:rFonts w:ascii="Times New Roman" w:hAnsi="Times New Roman" w:cs="Times New Roman"/>
          <w:color w:val="00000A"/>
          <w:sz w:val="24"/>
          <w:szCs w:val="24"/>
          <w:lang w:eastAsia="cs-CZ"/>
        </w:rPr>
        <w:t> </w:t>
      </w:r>
      <w:r w:rsidRPr="00EB1C12">
        <w:rPr>
          <w:rFonts w:ascii="Times New Roman" w:hAnsi="Times New Roman" w:cs="Times New Roman"/>
          <w:color w:val="00000A"/>
          <w:sz w:val="24"/>
          <w:szCs w:val="24"/>
          <w:lang w:eastAsia="cs-CZ"/>
        </w:rPr>
        <w:t>rozumně předpokladatelné. V takovém případě soud na návrh věřitele určí, že za dluhy společnosti tyto osoby ručí jako osoby fyzické a jsou povinny je zaplatit.</w:t>
      </w:r>
    </w:p>
    <w:p w:rsidR="00EB1C12" w:rsidRPr="00811C40" w:rsidRDefault="00EB1C12" w:rsidP="00EB1C12">
      <w:pPr>
        <w:widowControl/>
        <w:overflowPunct w:val="0"/>
        <w:spacing w:before="100" w:beforeAutospacing="1" w:after="100" w:afterAutospacing="1" w:line="240" w:lineRule="auto"/>
        <w:ind w:firstLine="0"/>
        <w:rPr>
          <w:rFonts w:ascii="Times New Roman" w:hAnsi="Times New Roman" w:cs="Times New Roman"/>
          <w:b/>
          <w:color w:val="00000A"/>
          <w:sz w:val="24"/>
          <w:szCs w:val="24"/>
          <w:u w:val="single"/>
          <w:lang w:eastAsia="cs-CZ"/>
        </w:rPr>
      </w:pPr>
      <w:bookmarkStart w:id="5" w:name="Poskozeny_v_trestni_veci_nebo_dedic"/>
      <w:r w:rsidRPr="00811C40">
        <w:rPr>
          <w:rFonts w:ascii="Times New Roman" w:hAnsi="Times New Roman" w:cs="Times New Roman"/>
          <w:b/>
          <w:color w:val="00000A"/>
          <w:sz w:val="24"/>
          <w:szCs w:val="24"/>
          <w:u w:val="single"/>
          <w:lang w:eastAsia="cs-CZ"/>
        </w:rPr>
        <w:t>Poškozený v trestní věci nebo dědic</w:t>
      </w:r>
    </w:p>
    <w:bookmarkEnd w:id="5"/>
    <w:p w:rsidR="00EB1C12" w:rsidRPr="00EB1C12" w:rsidRDefault="00EB1C12" w:rsidP="00EB1C12">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EB1C12">
        <w:rPr>
          <w:rFonts w:ascii="Times New Roman" w:hAnsi="Times New Roman" w:cs="Times New Roman"/>
          <w:color w:val="00000A"/>
          <w:sz w:val="24"/>
          <w:szCs w:val="24"/>
          <w:lang w:eastAsia="cs-CZ"/>
        </w:rPr>
        <w:t>Zde za poškozeného důkazy obstará policie, která je také povinna poškozeného poučit o jeho právech. Nejpozději do zahájení hlavního líčení u soudu má poškozený právo připojit se s</w:t>
      </w:r>
      <w:r w:rsidR="00940C4B">
        <w:rPr>
          <w:rFonts w:ascii="Times New Roman" w:hAnsi="Times New Roman" w:cs="Times New Roman"/>
          <w:color w:val="00000A"/>
          <w:sz w:val="24"/>
          <w:szCs w:val="24"/>
          <w:lang w:eastAsia="cs-CZ"/>
        </w:rPr>
        <w:t> </w:t>
      </w:r>
      <w:r w:rsidRPr="00EB1C12">
        <w:rPr>
          <w:rFonts w:ascii="Times New Roman" w:hAnsi="Times New Roman" w:cs="Times New Roman"/>
          <w:color w:val="00000A"/>
          <w:sz w:val="24"/>
          <w:szCs w:val="24"/>
          <w:lang w:eastAsia="cs-CZ"/>
        </w:rPr>
        <w:t>nárokem na náhradu škody do trestního řízení. Výrok o náhradě škody v odsuzujícím pravomocném trestním rozsudku pak slouží jako tzv. exekuční titul, tedy jako podklad pro zahájení exekuce, nenahrad</w:t>
      </w:r>
      <w:r w:rsidR="00811C40">
        <w:rPr>
          <w:rFonts w:ascii="Times New Roman" w:hAnsi="Times New Roman" w:cs="Times New Roman"/>
          <w:color w:val="00000A"/>
          <w:sz w:val="24"/>
          <w:szCs w:val="24"/>
          <w:lang w:eastAsia="cs-CZ"/>
        </w:rPr>
        <w:t>í-li pachatel škodu dobrovolně.</w:t>
      </w:r>
    </w:p>
    <w:p w:rsidR="00EB1C12" w:rsidRPr="00EB1C12" w:rsidRDefault="00EB1C12" w:rsidP="00EB1C12">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EB1C12">
        <w:rPr>
          <w:rFonts w:ascii="Times New Roman" w:hAnsi="Times New Roman" w:cs="Times New Roman"/>
          <w:color w:val="00000A"/>
          <w:sz w:val="24"/>
          <w:szCs w:val="24"/>
          <w:lang w:eastAsia="cs-CZ"/>
        </w:rPr>
        <w:t>Stejné je to i s usnesením soudu vydaným v dědickém řízení, podle kterého má některý z</w:t>
      </w:r>
      <w:r w:rsidR="00940C4B">
        <w:rPr>
          <w:rFonts w:ascii="Times New Roman" w:hAnsi="Times New Roman" w:cs="Times New Roman"/>
          <w:color w:val="00000A"/>
          <w:sz w:val="24"/>
          <w:szCs w:val="24"/>
          <w:lang w:eastAsia="cs-CZ"/>
        </w:rPr>
        <w:t> </w:t>
      </w:r>
      <w:r w:rsidRPr="00EB1C12">
        <w:rPr>
          <w:rFonts w:ascii="Times New Roman" w:hAnsi="Times New Roman" w:cs="Times New Roman"/>
          <w:color w:val="00000A"/>
          <w:sz w:val="24"/>
          <w:szCs w:val="24"/>
          <w:lang w:eastAsia="cs-CZ"/>
        </w:rPr>
        <w:t>dědiců vyplatit další dědice.</w:t>
      </w:r>
    </w:p>
    <w:p w:rsidR="00EB1C12" w:rsidRPr="00811C40" w:rsidRDefault="00EB1C12" w:rsidP="00EB1C12">
      <w:pPr>
        <w:widowControl/>
        <w:overflowPunct w:val="0"/>
        <w:spacing w:before="100" w:beforeAutospacing="1" w:after="100" w:afterAutospacing="1" w:line="240" w:lineRule="auto"/>
        <w:ind w:firstLine="0"/>
        <w:rPr>
          <w:rFonts w:ascii="Times New Roman" w:hAnsi="Times New Roman" w:cs="Times New Roman"/>
          <w:b/>
          <w:color w:val="00000A"/>
          <w:sz w:val="24"/>
          <w:szCs w:val="24"/>
          <w:u w:val="single"/>
          <w:lang w:eastAsia="cs-CZ"/>
        </w:rPr>
      </w:pPr>
      <w:bookmarkStart w:id="6" w:name="Vymahani_dluhu"/>
      <w:r w:rsidRPr="00811C40">
        <w:rPr>
          <w:rFonts w:ascii="Times New Roman" w:hAnsi="Times New Roman" w:cs="Times New Roman"/>
          <w:b/>
          <w:color w:val="00000A"/>
          <w:sz w:val="24"/>
          <w:szCs w:val="24"/>
          <w:u w:val="single"/>
          <w:lang w:eastAsia="cs-CZ"/>
        </w:rPr>
        <w:t>Vymáhání dluhu</w:t>
      </w:r>
    </w:p>
    <w:bookmarkEnd w:id="6"/>
    <w:p w:rsidR="00EB1C12" w:rsidRPr="00EB1C12" w:rsidRDefault="00EB1C12" w:rsidP="00EB1C12">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EB1C12">
        <w:rPr>
          <w:rFonts w:ascii="Times New Roman" w:hAnsi="Times New Roman" w:cs="Times New Roman"/>
          <w:color w:val="00000A"/>
          <w:sz w:val="24"/>
          <w:szCs w:val="24"/>
          <w:lang w:eastAsia="cs-CZ"/>
        </w:rPr>
        <w:t>Vymáhání dluhu prostřednictvím orgánů veřejné moci je třeba rozdělit na fázi nalézací a</w:t>
      </w:r>
      <w:r w:rsidR="00940C4B">
        <w:rPr>
          <w:rFonts w:ascii="Times New Roman" w:hAnsi="Times New Roman" w:cs="Times New Roman"/>
          <w:color w:val="00000A"/>
          <w:sz w:val="24"/>
          <w:szCs w:val="24"/>
          <w:lang w:eastAsia="cs-CZ"/>
        </w:rPr>
        <w:t> </w:t>
      </w:r>
      <w:r w:rsidRPr="00EB1C12">
        <w:rPr>
          <w:rFonts w:ascii="Times New Roman" w:hAnsi="Times New Roman" w:cs="Times New Roman"/>
          <w:color w:val="00000A"/>
          <w:sz w:val="24"/>
          <w:szCs w:val="24"/>
          <w:lang w:eastAsia="cs-CZ"/>
        </w:rPr>
        <w:t>vykonávací. Prvním krokem je předžalobní výzva věřitele, která sice není povinná, ale v</w:t>
      </w:r>
      <w:r w:rsidR="00940C4B">
        <w:rPr>
          <w:rFonts w:ascii="Times New Roman" w:hAnsi="Times New Roman" w:cs="Times New Roman"/>
          <w:color w:val="00000A"/>
          <w:sz w:val="24"/>
          <w:szCs w:val="24"/>
          <w:lang w:eastAsia="cs-CZ"/>
        </w:rPr>
        <w:t> </w:t>
      </w:r>
      <w:r w:rsidRPr="00EB1C12">
        <w:rPr>
          <w:rFonts w:ascii="Times New Roman" w:hAnsi="Times New Roman" w:cs="Times New Roman"/>
          <w:color w:val="00000A"/>
          <w:sz w:val="24"/>
          <w:szCs w:val="24"/>
          <w:lang w:eastAsia="cs-CZ"/>
        </w:rPr>
        <w:t>případě úspěchu ve sporu věřiteli zajistí právo na náhradu nákladů řízení. Je-li výzva bezvýsledná, následuje žaloba, v jednoduchých věcech žaloba s návrhem na vydání platebního rozkazu.  Jde-li vše dobře, má věřitel v rozumné době v ruce pravomocný platební rozkaz nebo rozsudek – exekuční titul, čímž nalézací řízení končí. S ním se již bez další výzvy dlužníkovi může obrátit na soudního exekutora, který v ideálním případě rozhodnutí vykoná a dluh vymůže. Je zřejmé, že takovéto zdařilé finále je pro pocit jakési základní spravedlnosti nezbytné. Podle mého názoru je proto nehorázné věřitelům ještě házet další klacky pod nohy legislativními návrhy na právo zvolit si exekutora jen ve svém okrese a</w:t>
      </w:r>
      <w:r w:rsidR="00940C4B">
        <w:rPr>
          <w:rFonts w:ascii="Times New Roman" w:hAnsi="Times New Roman" w:cs="Times New Roman"/>
          <w:color w:val="00000A"/>
          <w:sz w:val="24"/>
          <w:szCs w:val="24"/>
          <w:lang w:eastAsia="cs-CZ"/>
        </w:rPr>
        <w:t> </w:t>
      </w:r>
      <w:r w:rsidRPr="00EB1C12">
        <w:rPr>
          <w:rFonts w:ascii="Times New Roman" w:hAnsi="Times New Roman" w:cs="Times New Roman"/>
          <w:color w:val="00000A"/>
          <w:sz w:val="24"/>
          <w:szCs w:val="24"/>
          <w:lang w:eastAsia="cs-CZ"/>
        </w:rPr>
        <w:t>povinně mu složit zálohu anebo na povinnost exekutora zastavit exekuci v případě, že exekutor dluh nevymohl do tří let. O dalším zmírňování podmínek pro oddlužení nemluvě.</w:t>
      </w:r>
    </w:p>
    <w:p w:rsidR="00EB1C12" w:rsidRPr="00EB1C12" w:rsidRDefault="00EB1C12" w:rsidP="00EB1C12">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p>
    <w:p w:rsidR="00E557E9" w:rsidRPr="00811C40" w:rsidRDefault="00EB1C12" w:rsidP="00811C40">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b/>
          <w:i/>
          <w:color w:val="00000A"/>
          <w:sz w:val="24"/>
          <w:szCs w:val="24"/>
          <w:lang w:eastAsia="cs-CZ"/>
        </w:rPr>
      </w:pPr>
      <w:r w:rsidRPr="00EB1C12">
        <w:rPr>
          <w:rFonts w:ascii="Times New Roman" w:hAnsi="Times New Roman" w:cs="Times New Roman"/>
          <w:color w:val="00000A"/>
          <w:sz w:val="24"/>
          <w:szCs w:val="24"/>
          <w:lang w:eastAsia="cs-CZ"/>
        </w:rPr>
        <w:t>Příjemný podzim bez starostí přejí</w:t>
      </w:r>
      <w:r w:rsidR="00811C40">
        <w:rPr>
          <w:rFonts w:ascii="Times New Roman" w:hAnsi="Times New Roman" w:cs="Times New Roman"/>
          <w:color w:val="00000A"/>
          <w:sz w:val="24"/>
          <w:szCs w:val="24"/>
          <w:lang w:eastAsia="cs-CZ"/>
        </w:rPr>
        <w:tab/>
      </w:r>
      <w:r w:rsidRPr="00811C40">
        <w:rPr>
          <w:rFonts w:ascii="Times New Roman" w:hAnsi="Times New Roman" w:cs="Times New Roman"/>
          <w:b/>
          <w:i/>
          <w:color w:val="00000A"/>
          <w:sz w:val="24"/>
          <w:szCs w:val="24"/>
          <w:lang w:eastAsia="cs-CZ"/>
        </w:rPr>
        <w:t>Václava Baudišová a</w:t>
      </w:r>
      <w:r w:rsidR="00811C40" w:rsidRPr="00811C40">
        <w:rPr>
          <w:rFonts w:ascii="Times New Roman" w:hAnsi="Times New Roman" w:cs="Times New Roman"/>
          <w:b/>
          <w:i/>
          <w:color w:val="00000A"/>
          <w:sz w:val="24"/>
          <w:szCs w:val="24"/>
          <w:lang w:eastAsia="cs-CZ"/>
        </w:rPr>
        <w:t xml:space="preserve"> </w:t>
      </w:r>
      <w:r w:rsidRPr="00811C40">
        <w:rPr>
          <w:rFonts w:ascii="Times New Roman" w:hAnsi="Times New Roman" w:cs="Times New Roman"/>
          <w:b/>
          <w:i/>
          <w:color w:val="00000A"/>
          <w:sz w:val="24"/>
          <w:szCs w:val="24"/>
          <w:lang w:eastAsia="cs-CZ"/>
        </w:rPr>
        <w:t>Luboš Zajíc</w:t>
      </w:r>
    </w:p>
    <w:sectPr w:rsidR="00E557E9" w:rsidRPr="00811C40" w:rsidSect="004D2192">
      <w:pgSz w:w="11906" w:h="16838"/>
      <w:pgMar w:top="1134" w:right="1418" w:bottom="1134" w:left="1418" w:header="0" w:footer="0" w:gutter="0"/>
      <w:cols w:space="708"/>
      <w:formProt w:val="0"/>
      <w:docGrid w:linePitch="360" w:charSpace="-184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nux Biolinum">
    <w:altName w:val="Times New Roman"/>
    <w:panose1 w:val="02000503000000000000"/>
    <w:charset w:val="EE"/>
    <w:family w:val="auto"/>
    <w:pitch w:val="variable"/>
    <w:sig w:usb0="E0000AFF" w:usb1="5000E5FB" w:usb2="00000020" w:usb3="00000000" w:csb0="000001B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Liberation Sans">
    <w:altName w:val="Arial"/>
    <w:panose1 w:val="020B0604020202020204"/>
    <w:charset w:val="EE"/>
    <w:family w:val="swiss"/>
    <w:pitch w:val="variable"/>
    <w:sig w:usb0="A00002AF" w:usb1="500078FB" w:usb2="00000000" w:usb3="00000000" w:csb0="0000009F" w:csb1="00000000"/>
  </w:font>
  <w:font w:name="Noto Sans CJK SC Regular">
    <w:panose1 w:val="00000000000000000000"/>
    <w:charset w:val="00"/>
    <w:family w:val="roman"/>
    <w:notTrueType/>
    <w:pitch w:val="default"/>
  </w:font>
  <w:font w:name="FreeSans">
    <w:panose1 w:val="020B0504020202020204"/>
    <w:charset w:val="EE"/>
    <w:family w:val="swiss"/>
    <w:pitch w:val="variable"/>
    <w:sig w:usb0="E4078EFF" w:usb1="4200FDFF" w:usb2="000030A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41D6"/>
    <w:multiLevelType w:val="multilevel"/>
    <w:tmpl w:val="DDEAF722"/>
    <w:lvl w:ilvl="0">
      <w:start w:val="1"/>
      <w:numFmt w:val="bullet"/>
      <w:lvlText w:val=""/>
      <w:lvlJc w:val="left"/>
      <w:pPr>
        <w:tabs>
          <w:tab w:val="num" w:pos="962"/>
        </w:tabs>
        <w:ind w:left="962" w:hanging="360"/>
      </w:pPr>
      <w:rPr>
        <w:rFonts w:ascii="Symbol" w:hAnsi="Symbol" w:cs="OpenSymbol" w:hint="default"/>
      </w:rPr>
    </w:lvl>
    <w:lvl w:ilvl="1">
      <w:start w:val="1"/>
      <w:numFmt w:val="bullet"/>
      <w:lvlText w:val="◦"/>
      <w:lvlJc w:val="left"/>
      <w:pPr>
        <w:tabs>
          <w:tab w:val="num" w:pos="1322"/>
        </w:tabs>
        <w:ind w:left="1322" w:hanging="360"/>
      </w:pPr>
      <w:rPr>
        <w:rFonts w:ascii="OpenSymbol" w:hAnsi="OpenSymbol" w:cs="OpenSymbol" w:hint="default"/>
      </w:rPr>
    </w:lvl>
    <w:lvl w:ilvl="2">
      <w:start w:val="1"/>
      <w:numFmt w:val="bullet"/>
      <w:lvlText w:val="▪"/>
      <w:lvlJc w:val="left"/>
      <w:pPr>
        <w:tabs>
          <w:tab w:val="num" w:pos="1682"/>
        </w:tabs>
        <w:ind w:left="1682" w:hanging="360"/>
      </w:pPr>
      <w:rPr>
        <w:rFonts w:ascii="OpenSymbol" w:hAnsi="OpenSymbol" w:cs="OpenSymbol" w:hint="default"/>
      </w:rPr>
    </w:lvl>
    <w:lvl w:ilvl="3">
      <w:start w:val="1"/>
      <w:numFmt w:val="bullet"/>
      <w:lvlText w:val=""/>
      <w:lvlJc w:val="left"/>
      <w:pPr>
        <w:tabs>
          <w:tab w:val="num" w:pos="2042"/>
        </w:tabs>
        <w:ind w:left="2042" w:hanging="360"/>
      </w:pPr>
      <w:rPr>
        <w:rFonts w:ascii="Symbol" w:hAnsi="Symbol" w:cs="OpenSymbol" w:hint="default"/>
      </w:rPr>
    </w:lvl>
    <w:lvl w:ilvl="4">
      <w:start w:val="1"/>
      <w:numFmt w:val="bullet"/>
      <w:lvlText w:val="◦"/>
      <w:lvlJc w:val="left"/>
      <w:pPr>
        <w:tabs>
          <w:tab w:val="num" w:pos="2402"/>
        </w:tabs>
        <w:ind w:left="2402" w:hanging="360"/>
      </w:pPr>
      <w:rPr>
        <w:rFonts w:ascii="OpenSymbol" w:hAnsi="OpenSymbol" w:cs="OpenSymbol" w:hint="default"/>
      </w:rPr>
    </w:lvl>
    <w:lvl w:ilvl="5">
      <w:start w:val="1"/>
      <w:numFmt w:val="bullet"/>
      <w:lvlText w:val="▪"/>
      <w:lvlJc w:val="left"/>
      <w:pPr>
        <w:tabs>
          <w:tab w:val="num" w:pos="2762"/>
        </w:tabs>
        <w:ind w:left="2762" w:hanging="360"/>
      </w:pPr>
      <w:rPr>
        <w:rFonts w:ascii="OpenSymbol" w:hAnsi="OpenSymbol" w:cs="OpenSymbol" w:hint="default"/>
      </w:rPr>
    </w:lvl>
    <w:lvl w:ilvl="6">
      <w:start w:val="1"/>
      <w:numFmt w:val="bullet"/>
      <w:lvlText w:val=""/>
      <w:lvlJc w:val="left"/>
      <w:pPr>
        <w:tabs>
          <w:tab w:val="num" w:pos="3122"/>
        </w:tabs>
        <w:ind w:left="3122" w:hanging="360"/>
      </w:pPr>
      <w:rPr>
        <w:rFonts w:ascii="Symbol" w:hAnsi="Symbol" w:cs="OpenSymbol" w:hint="default"/>
      </w:rPr>
    </w:lvl>
    <w:lvl w:ilvl="7">
      <w:start w:val="1"/>
      <w:numFmt w:val="bullet"/>
      <w:lvlText w:val="◦"/>
      <w:lvlJc w:val="left"/>
      <w:pPr>
        <w:tabs>
          <w:tab w:val="num" w:pos="3482"/>
        </w:tabs>
        <w:ind w:left="3482" w:hanging="360"/>
      </w:pPr>
      <w:rPr>
        <w:rFonts w:ascii="OpenSymbol" w:hAnsi="OpenSymbol" w:cs="OpenSymbol" w:hint="default"/>
      </w:rPr>
    </w:lvl>
    <w:lvl w:ilvl="8">
      <w:start w:val="1"/>
      <w:numFmt w:val="bullet"/>
      <w:lvlText w:val="▪"/>
      <w:lvlJc w:val="left"/>
      <w:pPr>
        <w:tabs>
          <w:tab w:val="num" w:pos="3842"/>
        </w:tabs>
        <w:ind w:left="3842" w:hanging="360"/>
      </w:pPr>
      <w:rPr>
        <w:rFonts w:ascii="OpenSymbol" w:hAnsi="OpenSymbol" w:cs="OpenSymbol" w:hint="default"/>
      </w:rPr>
    </w:lvl>
  </w:abstractNum>
  <w:abstractNum w:abstractNumId="1">
    <w:nsid w:val="11354804"/>
    <w:multiLevelType w:val="hybridMultilevel"/>
    <w:tmpl w:val="245894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D993B97"/>
    <w:multiLevelType w:val="hybridMultilevel"/>
    <w:tmpl w:val="BBF89DC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D085121"/>
    <w:multiLevelType w:val="multilevel"/>
    <w:tmpl w:val="5F2CB948"/>
    <w:lvl w:ilvl="0">
      <w:start w:val="1"/>
      <w:numFmt w:val="bullet"/>
      <w:lvlText w:val=""/>
      <w:lvlJc w:val="left"/>
      <w:pPr>
        <w:tabs>
          <w:tab w:val="num" w:pos="1015"/>
        </w:tabs>
        <w:ind w:left="1015" w:hanging="360"/>
      </w:pPr>
      <w:rPr>
        <w:rFonts w:ascii="Symbol" w:hAnsi="Symbol" w:cs="OpenSymbol" w:hint="default"/>
      </w:rPr>
    </w:lvl>
    <w:lvl w:ilvl="1">
      <w:start w:val="1"/>
      <w:numFmt w:val="bullet"/>
      <w:lvlText w:val="◦"/>
      <w:lvlJc w:val="left"/>
      <w:pPr>
        <w:tabs>
          <w:tab w:val="num" w:pos="1375"/>
        </w:tabs>
        <w:ind w:left="1375" w:hanging="360"/>
      </w:pPr>
      <w:rPr>
        <w:rFonts w:ascii="OpenSymbol" w:hAnsi="OpenSymbol" w:cs="OpenSymbol" w:hint="default"/>
      </w:rPr>
    </w:lvl>
    <w:lvl w:ilvl="2">
      <w:start w:val="1"/>
      <w:numFmt w:val="bullet"/>
      <w:lvlText w:val="▪"/>
      <w:lvlJc w:val="left"/>
      <w:pPr>
        <w:tabs>
          <w:tab w:val="num" w:pos="1735"/>
        </w:tabs>
        <w:ind w:left="1735" w:hanging="360"/>
      </w:pPr>
      <w:rPr>
        <w:rFonts w:ascii="OpenSymbol" w:hAnsi="OpenSymbol" w:cs="OpenSymbol" w:hint="default"/>
      </w:rPr>
    </w:lvl>
    <w:lvl w:ilvl="3">
      <w:start w:val="1"/>
      <w:numFmt w:val="bullet"/>
      <w:lvlText w:val=""/>
      <w:lvlJc w:val="left"/>
      <w:pPr>
        <w:tabs>
          <w:tab w:val="num" w:pos="2095"/>
        </w:tabs>
        <w:ind w:left="2095" w:hanging="360"/>
      </w:pPr>
      <w:rPr>
        <w:rFonts w:ascii="Symbol" w:hAnsi="Symbol" w:cs="OpenSymbol" w:hint="default"/>
      </w:rPr>
    </w:lvl>
    <w:lvl w:ilvl="4">
      <w:start w:val="1"/>
      <w:numFmt w:val="bullet"/>
      <w:lvlText w:val="◦"/>
      <w:lvlJc w:val="left"/>
      <w:pPr>
        <w:tabs>
          <w:tab w:val="num" w:pos="2455"/>
        </w:tabs>
        <w:ind w:left="2455" w:hanging="360"/>
      </w:pPr>
      <w:rPr>
        <w:rFonts w:ascii="OpenSymbol" w:hAnsi="OpenSymbol" w:cs="OpenSymbol" w:hint="default"/>
      </w:rPr>
    </w:lvl>
    <w:lvl w:ilvl="5">
      <w:start w:val="1"/>
      <w:numFmt w:val="bullet"/>
      <w:lvlText w:val="▪"/>
      <w:lvlJc w:val="left"/>
      <w:pPr>
        <w:tabs>
          <w:tab w:val="num" w:pos="2815"/>
        </w:tabs>
        <w:ind w:left="2815" w:hanging="360"/>
      </w:pPr>
      <w:rPr>
        <w:rFonts w:ascii="OpenSymbol" w:hAnsi="OpenSymbol" w:cs="OpenSymbol" w:hint="default"/>
      </w:rPr>
    </w:lvl>
    <w:lvl w:ilvl="6">
      <w:start w:val="1"/>
      <w:numFmt w:val="bullet"/>
      <w:lvlText w:val=""/>
      <w:lvlJc w:val="left"/>
      <w:pPr>
        <w:tabs>
          <w:tab w:val="num" w:pos="3175"/>
        </w:tabs>
        <w:ind w:left="3175" w:hanging="360"/>
      </w:pPr>
      <w:rPr>
        <w:rFonts w:ascii="Symbol" w:hAnsi="Symbol" w:cs="OpenSymbol" w:hint="default"/>
      </w:rPr>
    </w:lvl>
    <w:lvl w:ilvl="7">
      <w:start w:val="1"/>
      <w:numFmt w:val="bullet"/>
      <w:lvlText w:val="◦"/>
      <w:lvlJc w:val="left"/>
      <w:pPr>
        <w:tabs>
          <w:tab w:val="num" w:pos="3535"/>
        </w:tabs>
        <w:ind w:left="3535" w:hanging="360"/>
      </w:pPr>
      <w:rPr>
        <w:rFonts w:ascii="OpenSymbol" w:hAnsi="OpenSymbol" w:cs="OpenSymbol" w:hint="default"/>
      </w:rPr>
    </w:lvl>
    <w:lvl w:ilvl="8">
      <w:start w:val="1"/>
      <w:numFmt w:val="bullet"/>
      <w:lvlText w:val="▪"/>
      <w:lvlJc w:val="left"/>
      <w:pPr>
        <w:tabs>
          <w:tab w:val="num" w:pos="3895"/>
        </w:tabs>
        <w:ind w:left="3895" w:hanging="360"/>
      </w:pPr>
      <w:rPr>
        <w:rFonts w:ascii="OpenSymbol" w:hAnsi="OpenSymbol" w:cs="OpenSymbol" w:hint="default"/>
      </w:rPr>
    </w:lvl>
  </w:abstractNum>
  <w:abstractNum w:abstractNumId="4">
    <w:nsid w:val="2E425CC9"/>
    <w:multiLevelType w:val="hybridMultilevel"/>
    <w:tmpl w:val="AA52B9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E896EB5"/>
    <w:multiLevelType w:val="hybridMultilevel"/>
    <w:tmpl w:val="E07A5BA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ED55147"/>
    <w:multiLevelType w:val="hybridMultilevel"/>
    <w:tmpl w:val="A490B4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1844CE1"/>
    <w:multiLevelType w:val="hybridMultilevel"/>
    <w:tmpl w:val="3834B0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42B1D4B"/>
    <w:multiLevelType w:val="multilevel"/>
    <w:tmpl w:val="08E6CE2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3E8E0961"/>
    <w:multiLevelType w:val="hybridMultilevel"/>
    <w:tmpl w:val="1FE86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F125BB1"/>
    <w:multiLevelType w:val="multilevel"/>
    <w:tmpl w:val="BFB2AC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432E0477"/>
    <w:multiLevelType w:val="hybridMultilevel"/>
    <w:tmpl w:val="696CD30C"/>
    <w:lvl w:ilvl="0" w:tplc="0405000F">
      <w:start w:val="1"/>
      <w:numFmt w:val="decimal"/>
      <w:lvlText w:val="%1."/>
      <w:lvlJc w:val="left"/>
      <w:pPr>
        <w:ind w:left="720" w:hanging="360"/>
      </w:pPr>
    </w:lvl>
    <w:lvl w:ilvl="1" w:tplc="011C02DA">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4E52B3D"/>
    <w:multiLevelType w:val="multilevel"/>
    <w:tmpl w:val="696CD30C"/>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E397754"/>
    <w:multiLevelType w:val="hybridMultilevel"/>
    <w:tmpl w:val="47DAC8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20A5448"/>
    <w:multiLevelType w:val="hybridMultilevel"/>
    <w:tmpl w:val="081EAC9E"/>
    <w:lvl w:ilvl="0" w:tplc="04050001">
      <w:start w:val="1"/>
      <w:numFmt w:val="bullet"/>
      <w:lvlText w:val=""/>
      <w:lvlJc w:val="left"/>
      <w:pPr>
        <w:ind w:left="960" w:hanging="360"/>
      </w:pPr>
      <w:rPr>
        <w:rFonts w:ascii="Symbol" w:hAnsi="Symbol" w:hint="default"/>
      </w:rPr>
    </w:lvl>
    <w:lvl w:ilvl="1" w:tplc="04050003">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15">
    <w:nsid w:val="6E7E3564"/>
    <w:multiLevelType w:val="hybridMultilevel"/>
    <w:tmpl w:val="EA266766"/>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7636D49"/>
    <w:multiLevelType w:val="hybridMultilevel"/>
    <w:tmpl w:val="A42E24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E4D21EF"/>
    <w:multiLevelType w:val="hybridMultilevel"/>
    <w:tmpl w:val="0D9682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10"/>
  </w:num>
  <w:num w:numId="5">
    <w:abstractNumId w:val="13"/>
  </w:num>
  <w:num w:numId="6">
    <w:abstractNumId w:val="2"/>
  </w:num>
  <w:num w:numId="7">
    <w:abstractNumId w:val="7"/>
  </w:num>
  <w:num w:numId="8">
    <w:abstractNumId w:val="17"/>
  </w:num>
  <w:num w:numId="9">
    <w:abstractNumId w:val="9"/>
  </w:num>
  <w:num w:numId="10">
    <w:abstractNumId w:val="4"/>
  </w:num>
  <w:num w:numId="11">
    <w:abstractNumId w:val="6"/>
  </w:num>
  <w:num w:numId="12">
    <w:abstractNumId w:val="5"/>
  </w:num>
  <w:num w:numId="13">
    <w:abstractNumId w:val="1"/>
  </w:num>
  <w:num w:numId="14">
    <w:abstractNumId w:val="16"/>
  </w:num>
  <w:num w:numId="15">
    <w:abstractNumId w:val="11"/>
  </w:num>
  <w:num w:numId="16">
    <w:abstractNumId w:val="15"/>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E9"/>
    <w:rsid w:val="000077CB"/>
    <w:rsid w:val="000153BD"/>
    <w:rsid w:val="000E2700"/>
    <w:rsid w:val="0012602C"/>
    <w:rsid w:val="001B3C11"/>
    <w:rsid w:val="001E4C47"/>
    <w:rsid w:val="00250155"/>
    <w:rsid w:val="00275895"/>
    <w:rsid w:val="0028284A"/>
    <w:rsid w:val="002961DE"/>
    <w:rsid w:val="003104D1"/>
    <w:rsid w:val="00373FF0"/>
    <w:rsid w:val="003F23F2"/>
    <w:rsid w:val="00457DF9"/>
    <w:rsid w:val="0048651A"/>
    <w:rsid w:val="004C3DE7"/>
    <w:rsid w:val="004D1C77"/>
    <w:rsid w:val="004D2192"/>
    <w:rsid w:val="004D74FA"/>
    <w:rsid w:val="00520303"/>
    <w:rsid w:val="005546C1"/>
    <w:rsid w:val="005945AB"/>
    <w:rsid w:val="005F17F8"/>
    <w:rsid w:val="00623CF4"/>
    <w:rsid w:val="0069006D"/>
    <w:rsid w:val="006C0F0E"/>
    <w:rsid w:val="006C385A"/>
    <w:rsid w:val="006E5F7C"/>
    <w:rsid w:val="0071291E"/>
    <w:rsid w:val="0072554B"/>
    <w:rsid w:val="00753FF9"/>
    <w:rsid w:val="00754FE6"/>
    <w:rsid w:val="00791A90"/>
    <w:rsid w:val="007949F0"/>
    <w:rsid w:val="007D367D"/>
    <w:rsid w:val="00805E2D"/>
    <w:rsid w:val="00806F7C"/>
    <w:rsid w:val="00811C40"/>
    <w:rsid w:val="00815E6A"/>
    <w:rsid w:val="00851380"/>
    <w:rsid w:val="00865F2A"/>
    <w:rsid w:val="00883957"/>
    <w:rsid w:val="008B0567"/>
    <w:rsid w:val="00940C4B"/>
    <w:rsid w:val="0094210C"/>
    <w:rsid w:val="00960C57"/>
    <w:rsid w:val="009C045C"/>
    <w:rsid w:val="009F0739"/>
    <w:rsid w:val="00A108BF"/>
    <w:rsid w:val="00AB5D5E"/>
    <w:rsid w:val="00AC5736"/>
    <w:rsid w:val="00BD6FB6"/>
    <w:rsid w:val="00C27805"/>
    <w:rsid w:val="00C83A0F"/>
    <w:rsid w:val="00CB5127"/>
    <w:rsid w:val="00CC21B3"/>
    <w:rsid w:val="00CE5475"/>
    <w:rsid w:val="00D315DA"/>
    <w:rsid w:val="00D40C12"/>
    <w:rsid w:val="00E06244"/>
    <w:rsid w:val="00E20FB3"/>
    <w:rsid w:val="00E25085"/>
    <w:rsid w:val="00E3673B"/>
    <w:rsid w:val="00E53F2F"/>
    <w:rsid w:val="00E54BBA"/>
    <w:rsid w:val="00E557E9"/>
    <w:rsid w:val="00EB1C12"/>
    <w:rsid w:val="00EC40A3"/>
    <w:rsid w:val="00EF50C9"/>
    <w:rsid w:val="00F076C8"/>
    <w:rsid w:val="00F81F3F"/>
    <w:rsid w:val="00FC2446"/>
    <w:rsid w:val="00FC657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190"/>
    <w:pPr>
      <w:widowControl w:val="0"/>
      <w:tabs>
        <w:tab w:val="left" w:pos="1700"/>
        <w:tab w:val="left" w:pos="2267"/>
        <w:tab w:val="left" w:pos="3401"/>
      </w:tabs>
      <w:spacing w:line="400" w:lineRule="exact"/>
      <w:ind w:firstLine="566"/>
      <w:jc w:val="both"/>
    </w:pPr>
    <w:rPr>
      <w:rFonts w:ascii="Linux Biolinum" w:hAnsi="Linux Biolinum" w:cs="Linux Biolinum"/>
      <w:color w:val="000000"/>
      <w:sz w:val="30"/>
      <w:szCs w:val="30"/>
    </w:rPr>
  </w:style>
  <w:style w:type="paragraph" w:styleId="Nadpis1">
    <w:name w:val="heading 1"/>
    <w:basedOn w:val="Normln"/>
    <w:link w:val="Nadpis1Char"/>
    <w:uiPriority w:val="9"/>
    <w:qFormat/>
    <w:rsid w:val="00BD3190"/>
    <w:pPr>
      <w:spacing w:before="240" w:after="360"/>
      <w:ind w:left="141" w:firstLine="0"/>
      <w:jc w:val="left"/>
      <w:outlineLvl w:val="0"/>
    </w:pPr>
    <w:rPr>
      <w:rFonts w:ascii="Cambria" w:hAnsi="Cambria" w:cs="Times New Roman"/>
      <w:b/>
      <w:bCs/>
      <w:sz w:val="32"/>
      <w:szCs w:val="32"/>
    </w:rPr>
  </w:style>
  <w:style w:type="paragraph" w:styleId="Nadpis2">
    <w:name w:val="heading 2"/>
    <w:basedOn w:val="Normln"/>
    <w:link w:val="Nadpis2Char"/>
    <w:uiPriority w:val="9"/>
    <w:qFormat/>
    <w:rsid w:val="00BD3190"/>
    <w:pPr>
      <w:ind w:firstLine="0"/>
      <w:jc w:val="center"/>
      <w:outlineLvl w:val="1"/>
    </w:pPr>
    <w:rPr>
      <w:rFonts w:ascii="Cambria" w:hAnsi="Cambria" w:cs="Times New Roman"/>
      <w:b/>
      <w:bCs/>
      <w:i/>
      <w:iCs/>
      <w:sz w:val="28"/>
      <w:szCs w:val="28"/>
    </w:rPr>
  </w:style>
  <w:style w:type="paragraph" w:styleId="Nadpis3">
    <w:name w:val="heading 3"/>
    <w:basedOn w:val="Nadpis1"/>
    <w:link w:val="Nadpis3Char"/>
    <w:uiPriority w:val="9"/>
    <w:unhideWhenUsed/>
    <w:qFormat/>
    <w:rsid w:val="00BD3190"/>
    <w:pPr>
      <w:outlineLvl w:val="2"/>
    </w:pPr>
    <w:rPr>
      <w:rFonts w:ascii="Arial Black" w:hAnsi="Arial Black" w:cs="Arial Black"/>
      <w:b w:val="0"/>
      <w:bCs w:val="0"/>
      <w:color w:val="24356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BD3190"/>
    <w:rPr>
      <w:rFonts w:ascii="Cambria" w:hAnsi="Cambria"/>
      <w:b/>
      <w:bCs/>
      <w:color w:val="000000"/>
      <w:sz w:val="32"/>
      <w:szCs w:val="32"/>
    </w:rPr>
  </w:style>
  <w:style w:type="character" w:customStyle="1" w:styleId="Nadpis2Char">
    <w:name w:val="Nadpis 2 Char"/>
    <w:link w:val="Nadpis2"/>
    <w:uiPriority w:val="9"/>
    <w:qFormat/>
    <w:rsid w:val="00BD3190"/>
    <w:rPr>
      <w:rFonts w:ascii="Cambria" w:hAnsi="Cambria"/>
      <w:b/>
      <w:bCs/>
      <w:i/>
      <w:iCs/>
      <w:color w:val="000000"/>
      <w:sz w:val="28"/>
      <w:szCs w:val="28"/>
    </w:rPr>
  </w:style>
  <w:style w:type="character" w:customStyle="1" w:styleId="Nadpis3Char">
    <w:name w:val="Nadpis 3 Char"/>
    <w:basedOn w:val="Standardnpsmoodstavce"/>
    <w:link w:val="Nadpis3"/>
    <w:uiPriority w:val="9"/>
    <w:qFormat/>
    <w:rsid w:val="00BD3190"/>
    <w:rPr>
      <w:rFonts w:ascii="Arial Black" w:hAnsi="Arial Black" w:cs="Arial Black"/>
      <w:color w:val="243564"/>
      <w:sz w:val="32"/>
      <w:szCs w:val="32"/>
    </w:rPr>
  </w:style>
  <w:style w:type="character" w:styleId="Siln">
    <w:name w:val="Strong"/>
    <w:basedOn w:val="Standardnpsmoodstavce"/>
    <w:uiPriority w:val="22"/>
    <w:qFormat/>
    <w:rsid w:val="00BD3190"/>
    <w:rPr>
      <w:b/>
      <w:bCs/>
    </w:rPr>
  </w:style>
  <w:style w:type="character" w:customStyle="1" w:styleId="Zdraznn">
    <w:name w:val="Zdůraznění"/>
    <w:basedOn w:val="Standardnpsmoodstavce"/>
    <w:uiPriority w:val="20"/>
    <w:qFormat/>
    <w:rsid w:val="00BD3190"/>
    <w:rPr>
      <w:i/>
      <w:iCs/>
    </w:rPr>
  </w:style>
  <w:style w:type="character" w:customStyle="1" w:styleId="Internetovodkaz">
    <w:name w:val="Internetový odkaz"/>
    <w:basedOn w:val="Standardnpsmoodstavce"/>
    <w:uiPriority w:val="99"/>
    <w:unhideWhenUsed/>
    <w:rsid w:val="00453220"/>
    <w:rPr>
      <w:color w:val="0000FF"/>
      <w:u w:val="single"/>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Odrky">
    <w:name w:val="Odrážky"/>
    <w:qFormat/>
    <w:rPr>
      <w:rFonts w:ascii="OpenSymbol" w:eastAsia="OpenSymbol" w:hAnsi="OpenSymbol" w:cs="OpenSymbol"/>
    </w:rPr>
  </w:style>
  <w:style w:type="character" w:customStyle="1" w:styleId="Navtveninternetovodkaz">
    <w:name w:val="Navštívený internetový odkaz"/>
    <w:rPr>
      <w:color w:val="800000"/>
      <w:u w:val="single"/>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ascii="Times New Roman" w:hAnsi="Times New Roman" w:cs="FreeSans"/>
    </w:rPr>
  </w:style>
  <w:style w:type="paragraph" w:styleId="Titulek">
    <w:name w:val="caption"/>
    <w:basedOn w:val="Normln"/>
    <w:qFormat/>
    <w:pPr>
      <w:suppressLineNumbers/>
      <w:spacing w:before="120" w:after="120"/>
    </w:pPr>
    <w:rPr>
      <w:rFonts w:ascii="Times New Roman" w:hAnsi="Times New Roman" w:cs="FreeSans"/>
      <w:i/>
      <w:iCs/>
      <w:sz w:val="24"/>
      <w:szCs w:val="24"/>
    </w:rPr>
  </w:style>
  <w:style w:type="paragraph" w:customStyle="1" w:styleId="Rejstk">
    <w:name w:val="Rejstřík"/>
    <w:basedOn w:val="Normln"/>
    <w:qFormat/>
    <w:pPr>
      <w:suppressLineNumbers/>
    </w:pPr>
    <w:rPr>
      <w:rFonts w:ascii="Times New Roman" w:hAnsi="Times New Roman" w:cs="FreeSans"/>
    </w:rPr>
  </w:style>
  <w:style w:type="paragraph" w:styleId="Bezmezer">
    <w:name w:val="No Spacing"/>
    <w:uiPriority w:val="1"/>
    <w:qFormat/>
    <w:rsid w:val="00BD3190"/>
    <w:pPr>
      <w:widowControl w:val="0"/>
      <w:tabs>
        <w:tab w:val="left" w:pos="1700"/>
        <w:tab w:val="left" w:pos="2267"/>
        <w:tab w:val="left" w:pos="3401"/>
      </w:tabs>
      <w:ind w:firstLine="566"/>
      <w:jc w:val="both"/>
    </w:pPr>
    <w:rPr>
      <w:rFonts w:ascii="Linux Biolinum" w:hAnsi="Linux Biolinum" w:cs="Linux Biolinum"/>
      <w:color w:val="000000"/>
      <w:sz w:val="28"/>
      <w:szCs w:val="28"/>
    </w:rPr>
  </w:style>
  <w:style w:type="paragraph" w:styleId="Odstavecseseznamem">
    <w:name w:val="List Paragraph"/>
    <w:basedOn w:val="Normln"/>
    <w:uiPriority w:val="34"/>
    <w:qFormat/>
    <w:rsid w:val="00BD3190"/>
    <w:pPr>
      <w:ind w:left="720"/>
      <w:contextualSpacing/>
    </w:pPr>
  </w:style>
  <w:style w:type="paragraph" w:styleId="Normlnweb">
    <w:name w:val="Normal (Web)"/>
    <w:basedOn w:val="Normln"/>
    <w:uiPriority w:val="99"/>
    <w:semiHidden/>
    <w:unhideWhenUsed/>
    <w:qFormat/>
    <w:rsid w:val="00453220"/>
    <w:pPr>
      <w:widowControl/>
      <w:overflowPunct w:val="0"/>
      <w:spacing w:beforeAutospacing="1" w:afterAutospacing="1" w:line="240" w:lineRule="auto"/>
      <w:ind w:firstLine="0"/>
      <w:jc w:val="left"/>
    </w:pPr>
    <w:rPr>
      <w:rFonts w:ascii="Times New Roman" w:hAnsi="Times New Roman" w:cs="Times New Roman"/>
      <w:color w:val="00000A"/>
      <w:sz w:val="24"/>
      <w:szCs w:val="24"/>
      <w:lang w:eastAsia="cs-CZ"/>
    </w:rPr>
  </w:style>
  <w:style w:type="character" w:styleId="Hypertextovodkaz">
    <w:name w:val="Hyperlink"/>
    <w:basedOn w:val="Standardnpsmoodstavce"/>
    <w:uiPriority w:val="99"/>
    <w:unhideWhenUsed/>
    <w:rsid w:val="0094210C"/>
    <w:rPr>
      <w:color w:val="0000FF" w:themeColor="hyperlink"/>
      <w:u w:val="single"/>
    </w:rPr>
  </w:style>
  <w:style w:type="character" w:styleId="Sledovanodkaz">
    <w:name w:val="FollowedHyperlink"/>
    <w:basedOn w:val="Standardnpsmoodstavce"/>
    <w:uiPriority w:val="99"/>
    <w:semiHidden/>
    <w:unhideWhenUsed/>
    <w:rsid w:val="009421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190"/>
    <w:pPr>
      <w:widowControl w:val="0"/>
      <w:tabs>
        <w:tab w:val="left" w:pos="1700"/>
        <w:tab w:val="left" w:pos="2267"/>
        <w:tab w:val="left" w:pos="3401"/>
      </w:tabs>
      <w:spacing w:line="400" w:lineRule="exact"/>
      <w:ind w:firstLine="566"/>
      <w:jc w:val="both"/>
    </w:pPr>
    <w:rPr>
      <w:rFonts w:ascii="Linux Biolinum" w:hAnsi="Linux Biolinum" w:cs="Linux Biolinum"/>
      <w:color w:val="000000"/>
      <w:sz w:val="30"/>
      <w:szCs w:val="30"/>
    </w:rPr>
  </w:style>
  <w:style w:type="paragraph" w:styleId="Nadpis1">
    <w:name w:val="heading 1"/>
    <w:basedOn w:val="Normln"/>
    <w:link w:val="Nadpis1Char"/>
    <w:uiPriority w:val="9"/>
    <w:qFormat/>
    <w:rsid w:val="00BD3190"/>
    <w:pPr>
      <w:spacing w:before="240" w:after="360"/>
      <w:ind w:left="141" w:firstLine="0"/>
      <w:jc w:val="left"/>
      <w:outlineLvl w:val="0"/>
    </w:pPr>
    <w:rPr>
      <w:rFonts w:ascii="Cambria" w:hAnsi="Cambria" w:cs="Times New Roman"/>
      <w:b/>
      <w:bCs/>
      <w:sz w:val="32"/>
      <w:szCs w:val="32"/>
    </w:rPr>
  </w:style>
  <w:style w:type="paragraph" w:styleId="Nadpis2">
    <w:name w:val="heading 2"/>
    <w:basedOn w:val="Normln"/>
    <w:link w:val="Nadpis2Char"/>
    <w:uiPriority w:val="9"/>
    <w:qFormat/>
    <w:rsid w:val="00BD3190"/>
    <w:pPr>
      <w:ind w:firstLine="0"/>
      <w:jc w:val="center"/>
      <w:outlineLvl w:val="1"/>
    </w:pPr>
    <w:rPr>
      <w:rFonts w:ascii="Cambria" w:hAnsi="Cambria" w:cs="Times New Roman"/>
      <w:b/>
      <w:bCs/>
      <w:i/>
      <w:iCs/>
      <w:sz w:val="28"/>
      <w:szCs w:val="28"/>
    </w:rPr>
  </w:style>
  <w:style w:type="paragraph" w:styleId="Nadpis3">
    <w:name w:val="heading 3"/>
    <w:basedOn w:val="Nadpis1"/>
    <w:link w:val="Nadpis3Char"/>
    <w:uiPriority w:val="9"/>
    <w:unhideWhenUsed/>
    <w:qFormat/>
    <w:rsid w:val="00BD3190"/>
    <w:pPr>
      <w:outlineLvl w:val="2"/>
    </w:pPr>
    <w:rPr>
      <w:rFonts w:ascii="Arial Black" w:hAnsi="Arial Black" w:cs="Arial Black"/>
      <w:b w:val="0"/>
      <w:bCs w:val="0"/>
      <w:color w:val="24356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BD3190"/>
    <w:rPr>
      <w:rFonts w:ascii="Cambria" w:hAnsi="Cambria"/>
      <w:b/>
      <w:bCs/>
      <w:color w:val="000000"/>
      <w:sz w:val="32"/>
      <w:szCs w:val="32"/>
    </w:rPr>
  </w:style>
  <w:style w:type="character" w:customStyle="1" w:styleId="Nadpis2Char">
    <w:name w:val="Nadpis 2 Char"/>
    <w:link w:val="Nadpis2"/>
    <w:uiPriority w:val="9"/>
    <w:qFormat/>
    <w:rsid w:val="00BD3190"/>
    <w:rPr>
      <w:rFonts w:ascii="Cambria" w:hAnsi="Cambria"/>
      <w:b/>
      <w:bCs/>
      <w:i/>
      <w:iCs/>
      <w:color w:val="000000"/>
      <w:sz w:val="28"/>
      <w:szCs w:val="28"/>
    </w:rPr>
  </w:style>
  <w:style w:type="character" w:customStyle="1" w:styleId="Nadpis3Char">
    <w:name w:val="Nadpis 3 Char"/>
    <w:basedOn w:val="Standardnpsmoodstavce"/>
    <w:link w:val="Nadpis3"/>
    <w:uiPriority w:val="9"/>
    <w:qFormat/>
    <w:rsid w:val="00BD3190"/>
    <w:rPr>
      <w:rFonts w:ascii="Arial Black" w:hAnsi="Arial Black" w:cs="Arial Black"/>
      <w:color w:val="243564"/>
      <w:sz w:val="32"/>
      <w:szCs w:val="32"/>
    </w:rPr>
  </w:style>
  <w:style w:type="character" w:styleId="Siln">
    <w:name w:val="Strong"/>
    <w:basedOn w:val="Standardnpsmoodstavce"/>
    <w:uiPriority w:val="22"/>
    <w:qFormat/>
    <w:rsid w:val="00BD3190"/>
    <w:rPr>
      <w:b/>
      <w:bCs/>
    </w:rPr>
  </w:style>
  <w:style w:type="character" w:customStyle="1" w:styleId="Zdraznn">
    <w:name w:val="Zdůraznění"/>
    <w:basedOn w:val="Standardnpsmoodstavce"/>
    <w:uiPriority w:val="20"/>
    <w:qFormat/>
    <w:rsid w:val="00BD3190"/>
    <w:rPr>
      <w:i/>
      <w:iCs/>
    </w:rPr>
  </w:style>
  <w:style w:type="character" w:customStyle="1" w:styleId="Internetovodkaz">
    <w:name w:val="Internetový odkaz"/>
    <w:basedOn w:val="Standardnpsmoodstavce"/>
    <w:uiPriority w:val="99"/>
    <w:unhideWhenUsed/>
    <w:rsid w:val="00453220"/>
    <w:rPr>
      <w:color w:val="0000FF"/>
      <w:u w:val="single"/>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Odrky">
    <w:name w:val="Odrážky"/>
    <w:qFormat/>
    <w:rPr>
      <w:rFonts w:ascii="OpenSymbol" w:eastAsia="OpenSymbol" w:hAnsi="OpenSymbol" w:cs="OpenSymbol"/>
    </w:rPr>
  </w:style>
  <w:style w:type="character" w:customStyle="1" w:styleId="Navtveninternetovodkaz">
    <w:name w:val="Navštívený internetový odkaz"/>
    <w:rPr>
      <w:color w:val="800000"/>
      <w:u w:val="single"/>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ascii="Times New Roman" w:hAnsi="Times New Roman" w:cs="FreeSans"/>
    </w:rPr>
  </w:style>
  <w:style w:type="paragraph" w:styleId="Titulek">
    <w:name w:val="caption"/>
    <w:basedOn w:val="Normln"/>
    <w:qFormat/>
    <w:pPr>
      <w:suppressLineNumbers/>
      <w:spacing w:before="120" w:after="120"/>
    </w:pPr>
    <w:rPr>
      <w:rFonts w:ascii="Times New Roman" w:hAnsi="Times New Roman" w:cs="FreeSans"/>
      <w:i/>
      <w:iCs/>
      <w:sz w:val="24"/>
      <w:szCs w:val="24"/>
    </w:rPr>
  </w:style>
  <w:style w:type="paragraph" w:customStyle="1" w:styleId="Rejstk">
    <w:name w:val="Rejstřík"/>
    <w:basedOn w:val="Normln"/>
    <w:qFormat/>
    <w:pPr>
      <w:suppressLineNumbers/>
    </w:pPr>
    <w:rPr>
      <w:rFonts w:ascii="Times New Roman" w:hAnsi="Times New Roman" w:cs="FreeSans"/>
    </w:rPr>
  </w:style>
  <w:style w:type="paragraph" w:styleId="Bezmezer">
    <w:name w:val="No Spacing"/>
    <w:uiPriority w:val="1"/>
    <w:qFormat/>
    <w:rsid w:val="00BD3190"/>
    <w:pPr>
      <w:widowControl w:val="0"/>
      <w:tabs>
        <w:tab w:val="left" w:pos="1700"/>
        <w:tab w:val="left" w:pos="2267"/>
        <w:tab w:val="left" w:pos="3401"/>
      </w:tabs>
      <w:ind w:firstLine="566"/>
      <w:jc w:val="both"/>
    </w:pPr>
    <w:rPr>
      <w:rFonts w:ascii="Linux Biolinum" w:hAnsi="Linux Biolinum" w:cs="Linux Biolinum"/>
      <w:color w:val="000000"/>
      <w:sz w:val="28"/>
      <w:szCs w:val="28"/>
    </w:rPr>
  </w:style>
  <w:style w:type="paragraph" w:styleId="Odstavecseseznamem">
    <w:name w:val="List Paragraph"/>
    <w:basedOn w:val="Normln"/>
    <w:uiPriority w:val="34"/>
    <w:qFormat/>
    <w:rsid w:val="00BD3190"/>
    <w:pPr>
      <w:ind w:left="720"/>
      <w:contextualSpacing/>
    </w:pPr>
  </w:style>
  <w:style w:type="paragraph" w:styleId="Normlnweb">
    <w:name w:val="Normal (Web)"/>
    <w:basedOn w:val="Normln"/>
    <w:uiPriority w:val="99"/>
    <w:semiHidden/>
    <w:unhideWhenUsed/>
    <w:qFormat/>
    <w:rsid w:val="00453220"/>
    <w:pPr>
      <w:widowControl/>
      <w:overflowPunct w:val="0"/>
      <w:spacing w:beforeAutospacing="1" w:afterAutospacing="1" w:line="240" w:lineRule="auto"/>
      <w:ind w:firstLine="0"/>
      <w:jc w:val="left"/>
    </w:pPr>
    <w:rPr>
      <w:rFonts w:ascii="Times New Roman" w:hAnsi="Times New Roman" w:cs="Times New Roman"/>
      <w:color w:val="00000A"/>
      <w:sz w:val="24"/>
      <w:szCs w:val="24"/>
      <w:lang w:eastAsia="cs-CZ"/>
    </w:rPr>
  </w:style>
  <w:style w:type="character" w:styleId="Hypertextovodkaz">
    <w:name w:val="Hyperlink"/>
    <w:basedOn w:val="Standardnpsmoodstavce"/>
    <w:uiPriority w:val="99"/>
    <w:unhideWhenUsed/>
    <w:rsid w:val="0094210C"/>
    <w:rPr>
      <w:color w:val="0000FF" w:themeColor="hyperlink"/>
      <w:u w:val="single"/>
    </w:rPr>
  </w:style>
  <w:style w:type="character" w:styleId="Sledovanodkaz">
    <w:name w:val="FollowedHyperlink"/>
    <w:basedOn w:val="Standardnpsmoodstavce"/>
    <w:uiPriority w:val="99"/>
    <w:semiHidden/>
    <w:unhideWhenUsed/>
    <w:rsid w:val="009421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455123">
      <w:bodyDiv w:val="1"/>
      <w:marLeft w:val="0"/>
      <w:marRight w:val="0"/>
      <w:marTop w:val="0"/>
      <w:marBottom w:val="0"/>
      <w:divBdr>
        <w:top w:val="none" w:sz="0" w:space="0" w:color="auto"/>
        <w:left w:val="none" w:sz="0" w:space="0" w:color="auto"/>
        <w:bottom w:val="none" w:sz="0" w:space="0" w:color="auto"/>
        <w:right w:val="none" w:sz="0" w:space="0" w:color="auto"/>
      </w:divBdr>
    </w:div>
    <w:div w:id="1597441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ustic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ekcr.cz/1/centralni-evidence-exekuci/22-centralni-evidence-exekuci?w"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al.mpsv.cz/sz/obcane/insolvence/ins_prava" TargetMode="External"/><Relationship Id="rId5" Type="http://schemas.openxmlformats.org/officeDocument/2006/relationships/settings" Target="settings.xml"/><Relationship Id="rId10" Type="http://schemas.openxmlformats.org/officeDocument/2006/relationships/hyperlink" Target="http://www.dtest.cz/eshopy" TargetMode="External"/><Relationship Id="rId4" Type="http://schemas.microsoft.com/office/2007/relationships/stylesWithEffects" Target="stylesWithEffects.xml"/><Relationship Id="rId9" Type="http://schemas.openxmlformats.org/officeDocument/2006/relationships/hyperlink" Target="https://pv.pecin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3CD3F-0FA0-4E07-9DFE-C540FA51B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1568</Words>
  <Characters>9257</Characters>
  <Application>Microsoft Office Word</Application>
  <DocSecurity>0</DocSecurity>
  <Lines>77</Lines>
  <Paragraphs>21</Paragraphs>
  <ScaleCrop>false</ScaleCrop>
  <HeadingPairs>
    <vt:vector size="4" baseType="variant">
      <vt:variant>
        <vt:lpstr>Název</vt:lpstr>
      </vt:variant>
      <vt:variant>
        <vt:i4>1</vt:i4>
      </vt:variant>
      <vt:variant>
        <vt:lpstr>Nadpisy</vt:lpstr>
      </vt:variant>
      <vt:variant>
        <vt:i4>3</vt:i4>
      </vt:variant>
    </vt:vector>
  </HeadingPairs>
  <TitlesOfParts>
    <vt:vector size="4" baseType="lpstr">
      <vt:lpstr/>
      <vt:lpstr>Informace a odpovědi na dotazy ze Sociálně právní poradny SONS v Praze 08/2019</vt:lpstr>
      <vt:lpstr>    Důležité upozornění pro uživatele bílých holí</vt:lpstr>
      <vt:lpstr>    Právo z pohledu věřitele</vt:lpstr>
    </vt:vector>
  </TitlesOfParts>
  <Company>Hewlett-Packard Company</Company>
  <LinksUpToDate>false</LinksUpToDate>
  <CharactersWithSpaces>10804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Jasinský</dc:creator>
  <cp:lastModifiedBy>Petr Jasinský</cp:lastModifiedBy>
  <cp:revision>9</cp:revision>
  <dcterms:created xsi:type="dcterms:W3CDTF">2020-04-27T09:52:00Z</dcterms:created>
  <dcterms:modified xsi:type="dcterms:W3CDTF">2020-04-27T11:57:00Z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