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9" w:rsidRDefault="00E06244">
      <w:pPr>
        <w:widowControl/>
        <w:overflowPunct w:val="0"/>
        <w:spacing w:beforeAutospacing="1" w:afterAutospacing="1" w:line="240" w:lineRule="auto"/>
        <w:ind w:firstLine="0"/>
        <w:jc w:val="center"/>
        <w:outlineLvl w:val="0"/>
      </w:pPr>
      <w:r>
        <w:rPr>
          <w:rFonts w:ascii="Times New Roman" w:hAnsi="Times New Roman" w:cs="Times New Roman"/>
          <w:b/>
          <w:bCs/>
          <w:color w:val="00000A"/>
          <w:sz w:val="48"/>
          <w:szCs w:val="48"/>
          <w:lang w:eastAsia="cs-CZ"/>
        </w:rPr>
        <w:t>Informace a odpovědi na dotazy ze Sociáln</w:t>
      </w:r>
      <w:r w:rsidR="004D1C77">
        <w:rPr>
          <w:rFonts w:ascii="Times New Roman" w:hAnsi="Times New Roman" w:cs="Times New Roman"/>
          <w:b/>
          <w:bCs/>
          <w:color w:val="00000A"/>
          <w:sz w:val="48"/>
          <w:szCs w:val="48"/>
          <w:lang w:eastAsia="cs-CZ"/>
        </w:rPr>
        <w:t xml:space="preserve">ě právní poradny SONS v Praze </w:t>
      </w:r>
      <w:r w:rsidR="005546C1">
        <w:rPr>
          <w:rFonts w:ascii="Times New Roman" w:hAnsi="Times New Roman" w:cs="Times New Roman"/>
          <w:b/>
          <w:bCs/>
          <w:color w:val="00000A"/>
          <w:sz w:val="48"/>
          <w:szCs w:val="48"/>
          <w:lang w:eastAsia="cs-CZ"/>
        </w:rPr>
        <w:t>0</w:t>
      </w:r>
      <w:r w:rsidR="00E54BBA">
        <w:rPr>
          <w:rFonts w:ascii="Times New Roman" w:hAnsi="Times New Roman" w:cs="Times New Roman"/>
          <w:b/>
          <w:bCs/>
          <w:color w:val="00000A"/>
          <w:sz w:val="48"/>
          <w:szCs w:val="48"/>
          <w:lang w:eastAsia="cs-CZ"/>
        </w:rPr>
        <w:t>4</w:t>
      </w:r>
      <w:r w:rsidR="005546C1">
        <w:rPr>
          <w:rFonts w:ascii="Times New Roman" w:hAnsi="Times New Roman" w:cs="Times New Roman"/>
          <w:b/>
          <w:bCs/>
          <w:color w:val="00000A"/>
          <w:sz w:val="48"/>
          <w:szCs w:val="48"/>
          <w:lang w:eastAsia="cs-CZ"/>
        </w:rPr>
        <w:t>/2019</w:t>
      </w:r>
    </w:p>
    <w:p w:rsidR="00E54BBA" w:rsidRDefault="00E54BBA" w:rsidP="00E54BBA">
      <w:pPr>
        <w:widowControl/>
        <w:overflowPunct w:val="0"/>
        <w:spacing w:before="100" w:beforeAutospacing="1" w:after="100" w:afterAutospacing="1" w:line="240" w:lineRule="auto"/>
        <w:ind w:firstLine="0"/>
        <w:rPr>
          <w:sz w:val="24"/>
          <w:szCs w:val="24"/>
        </w:rPr>
      </w:pPr>
      <w:r w:rsidRPr="00E54BBA">
        <w:rPr>
          <w:rFonts w:ascii="Times New Roman" w:hAnsi="Times New Roman" w:cs="Times New Roman"/>
          <w:color w:val="00000A"/>
          <w:sz w:val="24"/>
          <w:szCs w:val="24"/>
          <w:lang w:eastAsia="cs-CZ"/>
        </w:rPr>
        <w:t>Dnes začneme trochu netradičně, a to opravou a upřesněním informace z minulého článku</w:t>
      </w:r>
      <w:r>
        <w:rPr>
          <w:rFonts w:ascii="Times New Roman" w:hAnsi="Times New Roman" w:cs="Times New Roman"/>
          <w:color w:val="00000A"/>
          <w:sz w:val="24"/>
          <w:szCs w:val="24"/>
          <w:lang w:eastAsia="cs-CZ"/>
        </w:rPr>
        <w:t>, přesněji</w:t>
      </w:r>
    </w:p>
    <w:p w:rsidR="00E54BBA" w:rsidRDefault="00144048" w:rsidP="00E54BBA">
      <w:pPr>
        <w:widowControl/>
        <w:numPr>
          <w:ilvl w:val="0"/>
          <w:numId w:val="1"/>
        </w:numPr>
        <w:overflowPunct w:val="0"/>
        <w:spacing w:beforeAutospacing="1" w:afterAutospacing="1" w:line="240" w:lineRule="auto"/>
        <w:rPr>
          <w:sz w:val="24"/>
          <w:szCs w:val="24"/>
        </w:rPr>
      </w:pPr>
      <w:hyperlink w:anchor="Dodatek_ke_zvyseni_prispevku_na_peci" w:history="1">
        <w:r w:rsidR="000C0F25">
          <w:rPr>
            <w:rStyle w:val="Hypertextovodkaz"/>
            <w:sz w:val="24"/>
            <w:szCs w:val="24"/>
          </w:rPr>
          <w:t>o</w:t>
        </w:r>
        <w:r w:rsidR="00E54BBA" w:rsidRPr="00D40C12">
          <w:rPr>
            <w:rStyle w:val="Hypertextovodkaz"/>
            <w:sz w:val="24"/>
            <w:szCs w:val="24"/>
          </w:rPr>
          <w:t xml:space="preserve"> dodatku ke zvýšení příspěvku na péči</w:t>
        </w:r>
      </w:hyperlink>
    </w:p>
    <w:p w:rsidR="00E54BBA" w:rsidRDefault="00E54BBA" w:rsidP="00E54BBA">
      <w:pPr>
        <w:widowControl/>
        <w:numPr>
          <w:ilvl w:val="0"/>
          <w:numId w:val="1"/>
        </w:numPr>
        <w:overflowPunct w:val="0"/>
        <w:spacing w:beforeAutospacing="1" w:afterAutospacing="1" w:line="240" w:lineRule="auto"/>
        <w:rPr>
          <w:sz w:val="24"/>
          <w:szCs w:val="24"/>
        </w:rPr>
      </w:pPr>
      <w:r w:rsidRPr="00E54BBA">
        <w:rPr>
          <w:sz w:val="24"/>
          <w:szCs w:val="24"/>
        </w:rPr>
        <w:t xml:space="preserve">a zda si </w:t>
      </w:r>
      <w:hyperlink w:anchor="Budeme_si_doplacet_na_bile_hole" w:history="1">
        <w:r w:rsidRPr="00D40C12">
          <w:rPr>
            <w:rStyle w:val="Hypertextovodkaz"/>
            <w:sz w:val="24"/>
            <w:szCs w:val="24"/>
          </w:rPr>
          <w:t>budeme muset doplácet bílé hole</w:t>
        </w:r>
      </w:hyperlink>
      <w:r w:rsidRPr="00E54BBA">
        <w:rPr>
          <w:sz w:val="24"/>
          <w:szCs w:val="24"/>
        </w:rPr>
        <w:t>.</w:t>
      </w:r>
    </w:p>
    <w:p w:rsidR="00E54BBA" w:rsidRPr="00E54BBA" w:rsidRDefault="002B093C" w:rsidP="008B0567">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0" w:name="Oprava_ke_zvyseni_prispevku_na_peci"/>
      <w:r>
        <w:rPr>
          <w:rFonts w:ascii="Times New Roman" w:hAnsi="Times New Roman" w:cs="Times New Roman"/>
          <w:b/>
          <w:bCs/>
          <w:color w:val="00000A"/>
          <w:sz w:val="36"/>
          <w:szCs w:val="36"/>
          <w:lang w:eastAsia="cs-CZ"/>
        </w:rPr>
        <w:t>Oprava</w:t>
      </w:r>
      <w:r w:rsidR="00E54BBA" w:rsidRPr="00E54BBA">
        <w:rPr>
          <w:rFonts w:ascii="Times New Roman" w:hAnsi="Times New Roman" w:cs="Times New Roman"/>
          <w:b/>
          <w:bCs/>
          <w:color w:val="00000A"/>
          <w:sz w:val="36"/>
          <w:szCs w:val="36"/>
          <w:lang w:eastAsia="cs-CZ"/>
        </w:rPr>
        <w:t xml:space="preserve"> ke zvýšení příspěvku na péči </w:t>
      </w:r>
    </w:p>
    <w:bookmarkEnd w:id="0"/>
    <w:p w:rsidR="00E54BBA" w:rsidRPr="00E54BBA" w:rsidRDefault="00E54BBA" w:rsidP="00E54BB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Jde o pasáž, v níž jsme informovali o zvýšení příspěvku na péči ve III. a IV. stupni závislosti. Chybně jsem v článku uvedl, že u osob do 18 let věku bude příspěvek čini</w:t>
      </w:r>
      <w:r w:rsidR="00D40C12">
        <w:rPr>
          <w:rFonts w:ascii="Times New Roman" w:hAnsi="Times New Roman" w:cs="Times New Roman"/>
          <w:color w:val="00000A"/>
          <w:sz w:val="24"/>
          <w:szCs w:val="24"/>
          <w:lang w:eastAsia="cs-CZ"/>
        </w:rPr>
        <w:t>t 13.</w:t>
      </w:r>
      <w:r w:rsidRPr="00E54BBA">
        <w:rPr>
          <w:rFonts w:ascii="Times New Roman" w:hAnsi="Times New Roman" w:cs="Times New Roman"/>
          <w:color w:val="00000A"/>
          <w:sz w:val="24"/>
          <w:szCs w:val="24"/>
          <w:lang w:eastAsia="cs-CZ"/>
        </w:rPr>
        <w:t>200</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 xml:space="preserve">Kč, </w:t>
      </w:r>
      <w:r w:rsidRPr="00D40C12">
        <w:rPr>
          <w:rFonts w:ascii="Times New Roman" w:hAnsi="Times New Roman" w:cs="Times New Roman"/>
          <w:b/>
          <w:color w:val="00000A"/>
          <w:sz w:val="24"/>
          <w:szCs w:val="24"/>
          <w:lang w:eastAsia="cs-CZ"/>
        </w:rPr>
        <w:t>v</w:t>
      </w:r>
      <w:r w:rsidR="00D40C12" w:rsidRPr="00D40C12">
        <w:rPr>
          <w:rFonts w:ascii="Times New Roman" w:hAnsi="Times New Roman" w:cs="Times New Roman"/>
          <w:b/>
          <w:color w:val="00000A"/>
          <w:sz w:val="24"/>
          <w:szCs w:val="24"/>
          <w:lang w:eastAsia="cs-CZ"/>
        </w:rPr>
        <w:t>e skutečnosti půjde o částku 13.</w:t>
      </w:r>
      <w:r w:rsidRPr="00D40C12">
        <w:rPr>
          <w:rFonts w:ascii="Times New Roman" w:hAnsi="Times New Roman" w:cs="Times New Roman"/>
          <w:b/>
          <w:color w:val="00000A"/>
          <w:sz w:val="24"/>
          <w:szCs w:val="24"/>
          <w:lang w:eastAsia="cs-CZ"/>
        </w:rPr>
        <w:t>900</w:t>
      </w:r>
      <w:r w:rsidR="00D40C12" w:rsidRPr="00D40C12">
        <w:rPr>
          <w:rFonts w:ascii="Times New Roman" w:hAnsi="Times New Roman" w:cs="Times New Roman"/>
          <w:b/>
          <w:color w:val="00000A"/>
          <w:sz w:val="24"/>
          <w:szCs w:val="24"/>
          <w:lang w:eastAsia="cs-CZ"/>
        </w:rPr>
        <w:t> </w:t>
      </w:r>
      <w:r w:rsidRPr="00D40C12">
        <w:rPr>
          <w:rFonts w:ascii="Times New Roman" w:hAnsi="Times New Roman" w:cs="Times New Roman"/>
          <w:b/>
          <w:color w:val="00000A"/>
          <w:sz w:val="24"/>
          <w:szCs w:val="24"/>
          <w:lang w:eastAsia="cs-CZ"/>
        </w:rPr>
        <w:t xml:space="preserve">Kč, </w:t>
      </w:r>
      <w:r w:rsidRPr="00D40C12">
        <w:rPr>
          <w:rFonts w:ascii="Times New Roman" w:hAnsi="Times New Roman" w:cs="Times New Roman"/>
          <w:b/>
          <w:color w:val="00000A"/>
          <w:sz w:val="24"/>
          <w:szCs w:val="24"/>
          <w:u w:val="single"/>
          <w:lang w:eastAsia="cs-CZ"/>
        </w:rPr>
        <w:t>za chybu se omlouvám</w:t>
      </w:r>
      <w:r w:rsidRPr="00E54BBA">
        <w:rPr>
          <w:rFonts w:ascii="Times New Roman" w:hAnsi="Times New Roman" w:cs="Times New Roman"/>
          <w:color w:val="00000A"/>
          <w:sz w:val="24"/>
          <w:szCs w:val="24"/>
          <w:lang w:eastAsia="cs-CZ"/>
        </w:rPr>
        <w:t>. Nyní již informace platí bez jakýchkoliv pochybností, neboť předmětná novela už byla uveřejněna ve Sbírce zákonů. Slibované doplnění pak tkví v tom, že obě zvýšení příspěvku na péči oproti dosa</w:t>
      </w:r>
      <w:bookmarkStart w:id="1" w:name="_GoBack"/>
      <w:bookmarkEnd w:id="1"/>
      <w:r w:rsidRPr="00E54BBA">
        <w:rPr>
          <w:rFonts w:ascii="Times New Roman" w:hAnsi="Times New Roman" w:cs="Times New Roman"/>
          <w:color w:val="00000A"/>
          <w:sz w:val="24"/>
          <w:szCs w:val="24"/>
          <w:lang w:eastAsia="cs-CZ"/>
        </w:rPr>
        <w:t>vadnímu stavu, tedy zvýšení pro III. a IV. stupeň, se týkají pouze těch příjemců příspěvku, kteří nečerpají pobytové služby.</w:t>
      </w:r>
    </w:p>
    <w:p w:rsidR="004D1C77" w:rsidRPr="00E54BBA" w:rsidRDefault="00E54BBA" w:rsidP="00E54BBA">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2" w:name="Budeme_si_doplacet_na_bile_hole"/>
      <w:r w:rsidRPr="00E54BBA">
        <w:rPr>
          <w:rFonts w:ascii="Times New Roman" w:hAnsi="Times New Roman" w:cs="Times New Roman"/>
          <w:b/>
          <w:bCs/>
          <w:color w:val="00000A"/>
          <w:sz w:val="36"/>
          <w:szCs w:val="36"/>
          <w:lang w:eastAsia="cs-CZ"/>
        </w:rPr>
        <w:t>Budeme si doplácet na bílé hole?</w:t>
      </w:r>
      <w:bookmarkEnd w:id="2"/>
      <w:r w:rsidR="004D1C77" w:rsidRPr="00E54BBA">
        <w:rPr>
          <w:rFonts w:ascii="Times New Roman" w:hAnsi="Times New Roman" w:cs="Times New Roman"/>
          <w:b/>
          <w:bCs/>
          <w:color w:val="00000A"/>
          <w:sz w:val="36"/>
          <w:szCs w:val="36"/>
          <w:lang w:eastAsia="cs-CZ"/>
        </w:rPr>
        <w:t xml:space="preserve"> </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bookmarkStart w:id="3" w:name="__DdeLink__254_46380079"/>
      <w:bookmarkEnd w:id="3"/>
      <w:r w:rsidRPr="00E54BBA">
        <w:rPr>
          <w:rFonts w:ascii="Times New Roman" w:hAnsi="Times New Roman" w:cs="Times New Roman"/>
          <w:color w:val="00000A"/>
          <w:sz w:val="24"/>
          <w:szCs w:val="24"/>
          <w:lang w:eastAsia="cs-CZ"/>
        </w:rPr>
        <w:t>Čtenářům je jistě znám současný stav nároku na úhradu bílých a červenobílých holí z</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 xml:space="preserve">veřejného zdravotního pojištění. Je-li hůl řádně předepsána praktickým, dětským nebo očním lékařem, má </w:t>
      </w:r>
      <w:r w:rsidRPr="00883957">
        <w:rPr>
          <w:rFonts w:ascii="Times New Roman" w:hAnsi="Times New Roman" w:cs="Times New Roman"/>
          <w:b/>
          <w:color w:val="00000A"/>
          <w:sz w:val="24"/>
          <w:szCs w:val="24"/>
          <w:lang w:eastAsia="cs-CZ"/>
        </w:rPr>
        <w:t>pojištěnec nárok na úhradu maximálně tří bí</w:t>
      </w:r>
      <w:r w:rsidR="00D40C12" w:rsidRPr="00883957">
        <w:rPr>
          <w:rFonts w:ascii="Times New Roman" w:hAnsi="Times New Roman" w:cs="Times New Roman"/>
          <w:b/>
          <w:color w:val="00000A"/>
          <w:sz w:val="24"/>
          <w:szCs w:val="24"/>
          <w:lang w:eastAsia="cs-CZ"/>
        </w:rPr>
        <w:t>lých holí v kalendářním roce</w:t>
      </w:r>
      <w:r w:rsidR="00D40C12">
        <w:rPr>
          <w:rFonts w:ascii="Times New Roman" w:hAnsi="Times New Roman" w:cs="Times New Roman"/>
          <w:color w:val="00000A"/>
          <w:sz w:val="24"/>
          <w:szCs w:val="24"/>
          <w:lang w:eastAsia="cs-CZ"/>
        </w:rPr>
        <w:t xml:space="preserve">, </w:t>
      </w:r>
      <w:r w:rsidR="00D40C12" w:rsidRPr="00883957">
        <w:rPr>
          <w:rFonts w:ascii="Times New Roman" w:hAnsi="Times New Roman" w:cs="Times New Roman"/>
          <w:b/>
          <w:color w:val="00000A"/>
          <w:sz w:val="24"/>
          <w:szCs w:val="24"/>
          <w:lang w:eastAsia="cs-CZ"/>
        </w:rPr>
        <w:t>a </w:t>
      </w:r>
      <w:r w:rsidRPr="00883957">
        <w:rPr>
          <w:rFonts w:ascii="Times New Roman" w:hAnsi="Times New Roman" w:cs="Times New Roman"/>
          <w:b/>
          <w:color w:val="00000A"/>
          <w:sz w:val="24"/>
          <w:szCs w:val="24"/>
          <w:lang w:eastAsia="cs-CZ"/>
        </w:rPr>
        <w:t>to ve stoprocentní výši</w:t>
      </w:r>
      <w:r w:rsidRPr="00E54BBA">
        <w:rPr>
          <w:rFonts w:ascii="Times New Roman" w:hAnsi="Times New Roman" w:cs="Times New Roman"/>
          <w:color w:val="00000A"/>
          <w:sz w:val="24"/>
          <w:szCs w:val="24"/>
          <w:lang w:eastAsia="cs-CZ"/>
        </w:rPr>
        <w:t>, neboť úhrady odpovídají cenám, za něž se hole v pražské a</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olomoucké prodejně pobočného spolk</w:t>
      </w:r>
      <w:r>
        <w:rPr>
          <w:rFonts w:ascii="Times New Roman" w:hAnsi="Times New Roman" w:cs="Times New Roman"/>
          <w:color w:val="00000A"/>
          <w:sz w:val="24"/>
          <w:szCs w:val="24"/>
          <w:lang w:eastAsia="cs-CZ"/>
        </w:rPr>
        <w:t xml:space="preserve">u SONS, </w:t>
      </w:r>
      <w:proofErr w:type="spellStart"/>
      <w:r>
        <w:rPr>
          <w:rFonts w:ascii="Times New Roman" w:hAnsi="Times New Roman" w:cs="Times New Roman"/>
          <w:color w:val="00000A"/>
          <w:sz w:val="24"/>
          <w:szCs w:val="24"/>
          <w:lang w:eastAsia="cs-CZ"/>
        </w:rPr>
        <w:t>Tyflopomůcky</w:t>
      </w:r>
      <w:proofErr w:type="spellEnd"/>
      <w:r>
        <w:rPr>
          <w:rFonts w:ascii="Times New Roman" w:hAnsi="Times New Roman" w:cs="Times New Roman"/>
          <w:color w:val="00000A"/>
          <w:sz w:val="24"/>
          <w:szCs w:val="24"/>
          <w:lang w:eastAsia="cs-CZ"/>
        </w:rPr>
        <w:t xml:space="preserve"> prodávají.</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V prvních měsících roku 2018 byla Ministerstvem zdravotnictví do mezirezortního připomínkového řízení zaslána novela zákona o veřejném zdravotním pojištění, která mění systém kategorizace a úhrady zdravotnických prostředků. Tato systémová změna byla mj. vynucena rozhodnutím Ústavního soudu ČR, který poukazoval na nedemokratičnost a</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 xml:space="preserve">netransparentnost dosavadního systému, kdy o výši úhrad rozhodovala prakticky sama Všeobecná zdravotní pojišťovna, přičemž její rozhodovací proces nebyl dostatečně legislativně zakotven a regulován. V rámci této systémové změny byla navržena i novela přílohy č. 3 zákona o veřejném zdravotním pojištění, která obsahuje kategorizaci zdravotnických prostředků předepisovaných na poukaz. Proti návrhu SONS vznesla několik zásadních a několik věcných připomínek, které byly výsledkem spolupráce s dalšími organizacemi, zejména pak s </w:t>
      </w:r>
      <w:proofErr w:type="spellStart"/>
      <w:r w:rsidRPr="00E54BBA">
        <w:rPr>
          <w:rFonts w:ascii="Times New Roman" w:hAnsi="Times New Roman" w:cs="Times New Roman"/>
          <w:color w:val="00000A"/>
          <w:sz w:val="24"/>
          <w:szCs w:val="24"/>
          <w:lang w:eastAsia="cs-CZ"/>
        </w:rPr>
        <w:t>Tyfloservisem</w:t>
      </w:r>
      <w:proofErr w:type="spellEnd"/>
      <w:r w:rsidRPr="00E54BBA">
        <w:rPr>
          <w:rFonts w:ascii="Times New Roman" w:hAnsi="Times New Roman" w:cs="Times New Roman"/>
          <w:color w:val="00000A"/>
          <w:sz w:val="24"/>
          <w:szCs w:val="24"/>
          <w:lang w:eastAsia="cs-CZ"/>
        </w:rPr>
        <w:t xml:space="preserve">, OPS. Naše připomínky měly také podporu a byly zapracovány do připomínek vznesených Vládním výborem pro zdravotně postižené občany. Připomínky se týkaly nejen úhrady bílých holí, ale i dalších optických pomůcek. </w:t>
      </w:r>
      <w:r w:rsidRPr="00753FF9">
        <w:rPr>
          <w:rFonts w:ascii="Times New Roman" w:hAnsi="Times New Roman" w:cs="Times New Roman"/>
          <w:b/>
          <w:color w:val="00000A"/>
          <w:sz w:val="24"/>
          <w:szCs w:val="24"/>
          <w:lang w:eastAsia="cs-CZ"/>
        </w:rPr>
        <w:t>Podle předloženého návrhu měl být limit maximální úhr</w:t>
      </w:r>
      <w:r w:rsidR="00D40C12" w:rsidRPr="00753FF9">
        <w:rPr>
          <w:rFonts w:ascii="Times New Roman" w:hAnsi="Times New Roman" w:cs="Times New Roman"/>
          <w:b/>
          <w:color w:val="00000A"/>
          <w:sz w:val="24"/>
          <w:szCs w:val="24"/>
          <w:lang w:eastAsia="cs-CZ"/>
        </w:rPr>
        <w:t>ady bílých holí stanoven na 500 </w:t>
      </w:r>
      <w:r w:rsidRPr="00753FF9">
        <w:rPr>
          <w:rFonts w:ascii="Times New Roman" w:hAnsi="Times New Roman" w:cs="Times New Roman"/>
          <w:b/>
          <w:color w:val="00000A"/>
          <w:sz w:val="24"/>
          <w:szCs w:val="24"/>
          <w:lang w:eastAsia="cs-CZ"/>
        </w:rPr>
        <w:t>Kč a</w:t>
      </w:r>
      <w:r w:rsidR="00D40C12" w:rsidRPr="00753FF9">
        <w:rPr>
          <w:rFonts w:ascii="Times New Roman" w:hAnsi="Times New Roman" w:cs="Times New Roman"/>
          <w:b/>
          <w:color w:val="00000A"/>
          <w:sz w:val="24"/>
          <w:szCs w:val="24"/>
          <w:lang w:eastAsia="cs-CZ"/>
        </w:rPr>
        <w:t> </w:t>
      </w:r>
      <w:r w:rsidRPr="00753FF9">
        <w:rPr>
          <w:rFonts w:ascii="Times New Roman" w:hAnsi="Times New Roman" w:cs="Times New Roman"/>
          <w:b/>
          <w:color w:val="00000A"/>
          <w:sz w:val="24"/>
          <w:szCs w:val="24"/>
          <w:lang w:eastAsia="cs-CZ"/>
        </w:rPr>
        <w:t>hrazena měla být toliko jedna hůl za kalendářní rok.</w:t>
      </w:r>
      <w:r w:rsidRPr="00E54BBA">
        <w:rPr>
          <w:rFonts w:ascii="Times New Roman" w:hAnsi="Times New Roman" w:cs="Times New Roman"/>
          <w:color w:val="00000A"/>
          <w:sz w:val="24"/>
          <w:szCs w:val="24"/>
          <w:lang w:eastAsia="cs-CZ"/>
        </w:rPr>
        <w:t xml:space="preserve"> </w:t>
      </w:r>
      <w:r w:rsidRPr="00753FF9">
        <w:rPr>
          <w:rFonts w:ascii="Times New Roman" w:hAnsi="Times New Roman" w:cs="Times New Roman"/>
          <w:color w:val="00000A"/>
          <w:sz w:val="24"/>
          <w:szCs w:val="24"/>
          <w:u w:val="single"/>
          <w:lang w:eastAsia="cs-CZ"/>
        </w:rPr>
        <w:t>Tento návrh jsme označili za naprosto neakceptovatelný, trvali jsme na zachování současného stavu, tedy stoprocentní úhrady a</w:t>
      </w:r>
      <w:r w:rsidR="00D40C12" w:rsidRPr="00753FF9">
        <w:rPr>
          <w:rFonts w:ascii="Times New Roman" w:hAnsi="Times New Roman" w:cs="Times New Roman"/>
          <w:color w:val="00000A"/>
          <w:sz w:val="24"/>
          <w:szCs w:val="24"/>
          <w:u w:val="single"/>
          <w:lang w:eastAsia="cs-CZ"/>
        </w:rPr>
        <w:t> </w:t>
      </w:r>
      <w:r w:rsidRPr="00753FF9">
        <w:rPr>
          <w:rFonts w:ascii="Times New Roman" w:hAnsi="Times New Roman" w:cs="Times New Roman"/>
          <w:color w:val="00000A"/>
          <w:sz w:val="24"/>
          <w:szCs w:val="24"/>
          <w:u w:val="single"/>
          <w:lang w:eastAsia="cs-CZ"/>
        </w:rPr>
        <w:t>možnosti čerpat tři bílé hole za rok.</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753FF9">
        <w:rPr>
          <w:rFonts w:ascii="Times New Roman" w:hAnsi="Times New Roman" w:cs="Times New Roman"/>
          <w:color w:val="00000A"/>
          <w:sz w:val="24"/>
          <w:szCs w:val="24"/>
          <w:u w:val="single"/>
          <w:lang w:eastAsia="cs-CZ"/>
        </w:rPr>
        <w:t>Došlo jen k velmi částečné akceptaci našich připomínek a legislativním procesem prošel zákon zveřejněný pod číslem 282/2018 Sb.</w:t>
      </w:r>
      <w:r w:rsidRPr="00E54BBA">
        <w:rPr>
          <w:rFonts w:ascii="Times New Roman" w:hAnsi="Times New Roman" w:cs="Times New Roman"/>
          <w:color w:val="00000A"/>
          <w:sz w:val="24"/>
          <w:szCs w:val="24"/>
          <w:lang w:eastAsia="cs-CZ"/>
        </w:rPr>
        <w:t xml:space="preserve"> </w:t>
      </w:r>
      <w:r w:rsidRPr="00753FF9">
        <w:rPr>
          <w:rFonts w:ascii="Times New Roman" w:hAnsi="Times New Roman" w:cs="Times New Roman"/>
          <w:b/>
          <w:color w:val="00000A"/>
          <w:sz w:val="24"/>
          <w:szCs w:val="24"/>
          <w:lang w:eastAsia="cs-CZ"/>
        </w:rPr>
        <w:t xml:space="preserve">Podle této nyní platné novely má být </w:t>
      </w:r>
      <w:r w:rsidRPr="00753FF9">
        <w:rPr>
          <w:rFonts w:ascii="Times New Roman" w:hAnsi="Times New Roman" w:cs="Times New Roman"/>
          <w:b/>
          <w:color w:val="00000A"/>
          <w:sz w:val="24"/>
          <w:szCs w:val="24"/>
          <w:lang w:eastAsia="cs-CZ"/>
        </w:rPr>
        <w:lastRenderedPageBreak/>
        <w:t>s</w:t>
      </w:r>
      <w:r w:rsidR="00753FF9">
        <w:rPr>
          <w:rFonts w:ascii="Times New Roman" w:hAnsi="Times New Roman" w:cs="Times New Roman"/>
          <w:b/>
          <w:color w:val="00000A"/>
          <w:sz w:val="24"/>
          <w:szCs w:val="24"/>
          <w:lang w:eastAsia="cs-CZ"/>
        </w:rPr>
        <w:t> </w:t>
      </w:r>
      <w:r w:rsidRPr="00753FF9">
        <w:rPr>
          <w:rFonts w:ascii="Times New Roman" w:hAnsi="Times New Roman" w:cs="Times New Roman"/>
          <w:b/>
          <w:color w:val="00000A"/>
          <w:sz w:val="24"/>
          <w:szCs w:val="24"/>
          <w:lang w:eastAsia="cs-CZ"/>
        </w:rPr>
        <w:t xml:space="preserve">účinností od 1. prosince 2019 ze systému zdravotního pojištění možné čerpat dvě bílé či červenobílé hole za kalendářní rok. Maximální úhradový limit byl stanoven pro orientační </w:t>
      </w:r>
      <w:r w:rsidR="00D40C12" w:rsidRPr="00753FF9">
        <w:rPr>
          <w:rFonts w:ascii="Times New Roman" w:hAnsi="Times New Roman" w:cs="Times New Roman"/>
          <w:b/>
          <w:color w:val="00000A"/>
          <w:sz w:val="24"/>
          <w:szCs w:val="24"/>
          <w:lang w:eastAsia="cs-CZ"/>
        </w:rPr>
        <w:t>a signalizační bílé hole na 609 </w:t>
      </w:r>
      <w:r w:rsidRPr="00753FF9">
        <w:rPr>
          <w:rFonts w:ascii="Times New Roman" w:hAnsi="Times New Roman" w:cs="Times New Roman"/>
          <w:b/>
          <w:color w:val="00000A"/>
          <w:sz w:val="24"/>
          <w:szCs w:val="24"/>
          <w:lang w:eastAsia="cs-CZ"/>
        </w:rPr>
        <w:t>K</w:t>
      </w:r>
      <w:r w:rsidR="00D40C12" w:rsidRPr="00753FF9">
        <w:rPr>
          <w:rFonts w:ascii="Times New Roman" w:hAnsi="Times New Roman" w:cs="Times New Roman"/>
          <w:b/>
          <w:color w:val="00000A"/>
          <w:sz w:val="24"/>
          <w:szCs w:val="24"/>
          <w:lang w:eastAsia="cs-CZ"/>
        </w:rPr>
        <w:t>č a pro opěrné bílé hole na 174 </w:t>
      </w:r>
      <w:r w:rsidRPr="00753FF9">
        <w:rPr>
          <w:rFonts w:ascii="Times New Roman" w:hAnsi="Times New Roman" w:cs="Times New Roman"/>
          <w:b/>
          <w:color w:val="00000A"/>
          <w:sz w:val="24"/>
          <w:szCs w:val="24"/>
          <w:lang w:eastAsia="cs-CZ"/>
        </w:rPr>
        <w:t>Kč. U</w:t>
      </w:r>
      <w:r w:rsidR="00753FF9">
        <w:rPr>
          <w:rFonts w:ascii="Times New Roman" w:hAnsi="Times New Roman" w:cs="Times New Roman"/>
          <w:b/>
          <w:color w:val="00000A"/>
          <w:sz w:val="24"/>
          <w:szCs w:val="24"/>
          <w:lang w:eastAsia="cs-CZ"/>
        </w:rPr>
        <w:t> </w:t>
      </w:r>
      <w:r w:rsidRPr="00753FF9">
        <w:rPr>
          <w:rFonts w:ascii="Times New Roman" w:hAnsi="Times New Roman" w:cs="Times New Roman"/>
          <w:b/>
          <w:color w:val="00000A"/>
          <w:sz w:val="24"/>
          <w:szCs w:val="24"/>
          <w:lang w:eastAsia="cs-CZ"/>
        </w:rPr>
        <w:t xml:space="preserve">hluchoslepých pojištěnců pak byl stanoven limit pro </w:t>
      </w:r>
      <w:r w:rsidR="00D40C12" w:rsidRPr="00753FF9">
        <w:rPr>
          <w:rFonts w:ascii="Times New Roman" w:hAnsi="Times New Roman" w:cs="Times New Roman"/>
          <w:b/>
          <w:color w:val="00000A"/>
          <w:sz w:val="24"/>
          <w:szCs w:val="24"/>
          <w:lang w:eastAsia="cs-CZ"/>
        </w:rPr>
        <w:t>všechny červenobílé hole na 609 </w:t>
      </w:r>
      <w:r w:rsidRPr="00753FF9">
        <w:rPr>
          <w:rFonts w:ascii="Times New Roman" w:hAnsi="Times New Roman" w:cs="Times New Roman"/>
          <w:b/>
          <w:color w:val="00000A"/>
          <w:sz w:val="24"/>
          <w:szCs w:val="24"/>
          <w:lang w:eastAsia="cs-CZ"/>
        </w:rPr>
        <w:t>Kč</w:t>
      </w:r>
      <w:r w:rsidR="00753FF9">
        <w:rPr>
          <w:rFonts w:ascii="Times New Roman" w:hAnsi="Times New Roman" w:cs="Times New Roman"/>
          <w:b/>
          <w:color w:val="00000A"/>
          <w:sz w:val="24"/>
          <w:szCs w:val="24"/>
          <w:lang w:eastAsia="cs-CZ"/>
        </w:rPr>
        <w:t>.</w:t>
      </w:r>
      <w:r w:rsidRPr="00E54BBA">
        <w:rPr>
          <w:rFonts w:ascii="Times New Roman" w:hAnsi="Times New Roman" w:cs="Times New Roman"/>
          <w:color w:val="00000A"/>
          <w:sz w:val="24"/>
          <w:szCs w:val="24"/>
          <w:lang w:eastAsia="cs-CZ"/>
        </w:rPr>
        <w:t xml:space="preserve"> </w:t>
      </w:r>
      <w:r w:rsidR="00753FF9">
        <w:rPr>
          <w:rFonts w:ascii="Times New Roman" w:hAnsi="Times New Roman" w:cs="Times New Roman"/>
          <w:color w:val="00000A"/>
          <w:sz w:val="24"/>
          <w:szCs w:val="24"/>
          <w:lang w:eastAsia="cs-CZ"/>
        </w:rPr>
        <w:t>H</w:t>
      </w:r>
      <w:r w:rsidRPr="00E54BBA">
        <w:rPr>
          <w:rFonts w:ascii="Times New Roman" w:hAnsi="Times New Roman" w:cs="Times New Roman"/>
          <w:color w:val="00000A"/>
          <w:sz w:val="24"/>
          <w:szCs w:val="24"/>
          <w:lang w:eastAsia="cs-CZ"/>
        </w:rPr>
        <w:t>ole může i nadále předepisovat dět</w:t>
      </w:r>
      <w:r>
        <w:rPr>
          <w:rFonts w:ascii="Times New Roman" w:hAnsi="Times New Roman" w:cs="Times New Roman"/>
          <w:color w:val="00000A"/>
          <w:sz w:val="24"/>
          <w:szCs w:val="24"/>
          <w:lang w:eastAsia="cs-CZ"/>
        </w:rPr>
        <w:t>ský, praktický nebo oční lékař.</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S tímto stavem jsme se však nechtěli smířit, proto jsme v prosinci loňského roku oslovili ministra zdravotnictví s dopisem, v němž jsme mu vysvětlili, že bílá hůl je pro těžce zrakově postižené pojištěnce zcela nezbytnou pomůckou (zdravotnickým prostředkem), kterým je nevidomý člověk povinen být vybaven prakticky kdykoliv opustí své obydlí (viz zákon o</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 xml:space="preserve">provozu na pozemních komunikacích) a že neshledáváme naprosto žádný důvod ke zvýšení ekonomického zatížení naší komunity. Současná úprava by totiž znamenala, že na nejběžněji pořizované hole bychom si museli doplácet částky v řádu stokorun, u velmi používané pětidílné orientační skládací hole </w:t>
      </w:r>
      <w:r w:rsidR="00D40C12">
        <w:rPr>
          <w:rFonts w:ascii="Times New Roman" w:hAnsi="Times New Roman" w:cs="Times New Roman"/>
          <w:color w:val="00000A"/>
          <w:sz w:val="24"/>
          <w:szCs w:val="24"/>
          <w:lang w:eastAsia="cs-CZ"/>
        </w:rPr>
        <w:t>z kompozitu by šlo o částku 319 </w:t>
      </w:r>
      <w:r w:rsidRPr="00E54BBA">
        <w:rPr>
          <w:rFonts w:ascii="Times New Roman" w:hAnsi="Times New Roman" w:cs="Times New Roman"/>
          <w:color w:val="00000A"/>
          <w:sz w:val="24"/>
          <w:szCs w:val="24"/>
          <w:lang w:eastAsia="cs-CZ"/>
        </w:rPr>
        <w:t>Kč, u té</w:t>
      </w:r>
      <w:r w:rsidR="00D40C12">
        <w:rPr>
          <w:rFonts w:ascii="Times New Roman" w:hAnsi="Times New Roman" w:cs="Times New Roman"/>
          <w:color w:val="00000A"/>
          <w:sz w:val="24"/>
          <w:szCs w:val="24"/>
          <w:lang w:eastAsia="cs-CZ"/>
        </w:rPr>
        <w:t>že hole aluminiové o částku 187 </w:t>
      </w:r>
      <w:r w:rsidRPr="00E54BBA">
        <w:rPr>
          <w:rFonts w:ascii="Times New Roman" w:hAnsi="Times New Roman" w:cs="Times New Roman"/>
          <w:color w:val="00000A"/>
          <w:sz w:val="24"/>
          <w:szCs w:val="24"/>
          <w:lang w:eastAsia="cs-CZ"/>
        </w:rPr>
        <w:t>Kč. To vše samozřejmě za předpokladu zachování cen, které platily v roce 2018. Odpovědí na náš dopis pověřil ministr zdravotnictví Adam Vojtěch ředitelku odboru regulace cen a úhrad Pavlínu Žílovou, která konstatovala, že je přesvědčena, že podle nové úpravy je naprosto vše v pořádku. Dovolím si čtenáře pro učinění si představy, jak je někdy složité komunikovat s různými úřady a úředníky, uvést krátký</w:t>
      </w:r>
      <w:r>
        <w:rPr>
          <w:rFonts w:ascii="Times New Roman" w:hAnsi="Times New Roman" w:cs="Times New Roman"/>
          <w:color w:val="00000A"/>
          <w:sz w:val="24"/>
          <w:szCs w:val="24"/>
          <w:lang w:eastAsia="cs-CZ"/>
        </w:rPr>
        <w:t xml:space="preserve"> citát ze závěru její odpovědi:</w:t>
      </w:r>
    </w:p>
    <w:p w:rsidR="00E54BBA" w:rsidRPr="00D40C12" w:rsidRDefault="00E54BBA" w:rsidP="00E54BBA">
      <w:pPr>
        <w:widowControl/>
        <w:overflowPunct w:val="0"/>
        <w:spacing w:beforeAutospacing="1" w:afterAutospacing="1" w:line="240" w:lineRule="auto"/>
        <w:ind w:firstLine="0"/>
        <w:rPr>
          <w:rFonts w:ascii="Times New Roman" w:hAnsi="Times New Roman" w:cs="Times New Roman"/>
          <w:i/>
          <w:color w:val="00000A"/>
          <w:sz w:val="24"/>
          <w:szCs w:val="24"/>
          <w:lang w:eastAsia="cs-CZ"/>
        </w:rPr>
      </w:pPr>
      <w:r w:rsidRPr="00D40C12">
        <w:rPr>
          <w:rFonts w:ascii="Times New Roman" w:hAnsi="Times New Roman" w:cs="Times New Roman"/>
          <w:i/>
          <w:color w:val="00000A"/>
          <w:sz w:val="24"/>
          <w:szCs w:val="24"/>
          <w:lang w:eastAsia="cs-CZ"/>
        </w:rPr>
        <w:t>„Vzhledem k tomu, že v Seznamu cen a úhrad zdravotnických prostředků jsou zajištěny plně hrazené hole, je tato situace v souladu s čl. 31 Listiny základních práv a svobod týkající se práva občanů na bezplatnou zdravotní péči a zdravotní pomůcky na základě veřejného zdravotního pojištění za podmínek, které stanoví zákon. Skupina pacientů zrakově postižených osob má zajištěnou plně hrazenou variantu zdravotnického prostředku z</w:t>
      </w:r>
      <w:r w:rsidR="00D40C12" w:rsidRPr="00D40C12">
        <w:rPr>
          <w:rFonts w:ascii="Times New Roman" w:hAnsi="Times New Roman" w:cs="Times New Roman"/>
          <w:i/>
          <w:color w:val="00000A"/>
          <w:sz w:val="24"/>
          <w:szCs w:val="24"/>
          <w:lang w:eastAsia="cs-CZ"/>
        </w:rPr>
        <w:t> </w:t>
      </w:r>
      <w:r w:rsidRPr="00D40C12">
        <w:rPr>
          <w:rFonts w:ascii="Times New Roman" w:hAnsi="Times New Roman" w:cs="Times New Roman"/>
          <w:i/>
          <w:color w:val="00000A"/>
          <w:sz w:val="24"/>
          <w:szCs w:val="24"/>
          <w:lang w:eastAsia="cs-CZ"/>
        </w:rPr>
        <w:t>veřejného zdravotního pojištění a zároveň je zajištěna stabilita systému veřejného zdravotního pojištění v rámci jeho finančních možností, fungování zdravotnictví a kvalita a dostupnost hrazených služeb ve smyslu ustanovení § 17 odst. 2 zákona č. 48/1997 Sb.</w:t>
      </w:r>
    </w:p>
    <w:p w:rsidR="00E54BBA" w:rsidRPr="00D40C12" w:rsidRDefault="00E54BBA" w:rsidP="00E54BBA">
      <w:pPr>
        <w:widowControl/>
        <w:overflowPunct w:val="0"/>
        <w:spacing w:beforeAutospacing="1" w:afterAutospacing="1" w:line="240" w:lineRule="auto"/>
        <w:ind w:firstLine="0"/>
        <w:rPr>
          <w:rFonts w:ascii="Times New Roman" w:hAnsi="Times New Roman" w:cs="Times New Roman"/>
          <w:i/>
          <w:color w:val="00000A"/>
          <w:sz w:val="24"/>
          <w:szCs w:val="24"/>
          <w:lang w:eastAsia="cs-CZ"/>
        </w:rPr>
      </w:pPr>
      <w:r w:rsidRPr="00D40C12">
        <w:rPr>
          <w:rFonts w:ascii="Times New Roman" w:hAnsi="Times New Roman" w:cs="Times New Roman"/>
          <w:i/>
          <w:color w:val="00000A"/>
          <w:sz w:val="24"/>
          <w:szCs w:val="24"/>
          <w:lang w:eastAsia="cs-CZ"/>
        </w:rPr>
        <w:t>Věříme, že výrobci a jiné osoby dodávající zdravotnické prostředky na trh v ČR přizpůsobí svou cenovou politiku výši limitu úhrady stanovené v zákoně nebo prostřednictvím cenové soutěže či dohody o nejvyšší ceně.“</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 xml:space="preserve">Z tabulky, která </w:t>
      </w:r>
      <w:proofErr w:type="gramStart"/>
      <w:r w:rsidRPr="00E54BBA">
        <w:rPr>
          <w:rFonts w:ascii="Times New Roman" w:hAnsi="Times New Roman" w:cs="Times New Roman"/>
          <w:color w:val="00000A"/>
          <w:sz w:val="24"/>
          <w:szCs w:val="24"/>
          <w:lang w:eastAsia="cs-CZ"/>
        </w:rPr>
        <w:t>byla</w:t>
      </w:r>
      <w:proofErr w:type="gramEnd"/>
      <w:r w:rsidRPr="00E54BBA">
        <w:rPr>
          <w:rFonts w:ascii="Times New Roman" w:hAnsi="Times New Roman" w:cs="Times New Roman"/>
          <w:color w:val="00000A"/>
          <w:sz w:val="24"/>
          <w:szCs w:val="24"/>
          <w:lang w:eastAsia="cs-CZ"/>
        </w:rPr>
        <w:t xml:space="preserve"> taktéž součástí odpovědi paní Žílové přitom </w:t>
      </w:r>
      <w:proofErr w:type="gramStart"/>
      <w:r w:rsidRPr="00E54BBA">
        <w:rPr>
          <w:rFonts w:ascii="Times New Roman" w:hAnsi="Times New Roman" w:cs="Times New Roman"/>
          <w:color w:val="00000A"/>
          <w:sz w:val="24"/>
          <w:szCs w:val="24"/>
          <w:lang w:eastAsia="cs-CZ"/>
        </w:rPr>
        <w:t>vyplývalo</w:t>
      </w:r>
      <w:proofErr w:type="gramEnd"/>
      <w:r w:rsidRPr="00E54BBA">
        <w:rPr>
          <w:rFonts w:ascii="Times New Roman" w:hAnsi="Times New Roman" w:cs="Times New Roman"/>
          <w:color w:val="00000A"/>
          <w:sz w:val="24"/>
          <w:szCs w:val="24"/>
          <w:lang w:eastAsia="cs-CZ"/>
        </w:rPr>
        <w:t>, že plně hrazenými jsou jediné dvě hole, a to hůl s</w:t>
      </w:r>
      <w:r w:rsidR="00D40C12">
        <w:rPr>
          <w:rFonts w:ascii="Times New Roman" w:hAnsi="Times New Roman" w:cs="Times New Roman"/>
          <w:color w:val="00000A"/>
          <w:sz w:val="24"/>
          <w:szCs w:val="24"/>
          <w:lang w:eastAsia="cs-CZ"/>
        </w:rPr>
        <w:t>lepecká opěrná, dřevěná, za 158 </w:t>
      </w:r>
      <w:r w:rsidRPr="00E54BBA">
        <w:rPr>
          <w:rFonts w:ascii="Times New Roman" w:hAnsi="Times New Roman" w:cs="Times New Roman"/>
          <w:color w:val="00000A"/>
          <w:sz w:val="24"/>
          <w:szCs w:val="24"/>
          <w:lang w:eastAsia="cs-CZ"/>
        </w:rPr>
        <w:t>Kč a hůl bílá, orientační, neskládací, aluminiová, za 593</w:t>
      </w:r>
      <w:r w:rsidR="00883957">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Kč. Na všechny další hole bychom si tedy museli doplácet, ze skládacích holí není plně hrazená žádná. Navíc apel na výrobce holí by se jistě minul účinkem, resp. by byl zcela neadekvátní, protože všichni víme, že ceny holí se za poměrně dlouhou řadu let nijak nezvýšily, a to i přesto, že ceny mnoha ostatních komodit zejména v posledních letech rostou, z čehož jasně plyne, že současný výrobce bílých a</w:t>
      </w:r>
      <w:r w:rsidR="00D40C12">
        <w:rPr>
          <w:rFonts w:ascii="Times New Roman" w:hAnsi="Times New Roman" w:cs="Times New Roman"/>
          <w:color w:val="00000A"/>
          <w:sz w:val="24"/>
          <w:szCs w:val="24"/>
          <w:lang w:eastAsia="cs-CZ"/>
        </w:rPr>
        <w:t> </w:t>
      </w:r>
      <w:r w:rsidRPr="00E54BBA">
        <w:rPr>
          <w:rFonts w:ascii="Times New Roman" w:hAnsi="Times New Roman" w:cs="Times New Roman"/>
          <w:color w:val="00000A"/>
          <w:sz w:val="24"/>
          <w:szCs w:val="24"/>
          <w:lang w:eastAsia="cs-CZ"/>
        </w:rPr>
        <w:t>červenobílých holí svého monopolního postavení na č</w:t>
      </w:r>
      <w:r>
        <w:rPr>
          <w:rFonts w:ascii="Times New Roman" w:hAnsi="Times New Roman" w:cs="Times New Roman"/>
          <w:color w:val="00000A"/>
          <w:sz w:val="24"/>
          <w:szCs w:val="24"/>
          <w:lang w:eastAsia="cs-CZ"/>
        </w:rPr>
        <w:t>eském trhu rozhodně nezneužívá.</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 xml:space="preserve">S tímto stanoviskem jsme se tedy pochopitelně nemohli spokojit, ku prospěchu paní Žílové budiž řečeno, že byla ochotna k osobní schůzce, ačkoliv zbývá otázka, jaká by byla její ochota, pokud bychom nespojili </w:t>
      </w:r>
      <w:r>
        <w:rPr>
          <w:rFonts w:ascii="Times New Roman" w:hAnsi="Times New Roman" w:cs="Times New Roman"/>
          <w:color w:val="00000A"/>
          <w:sz w:val="24"/>
          <w:szCs w:val="24"/>
          <w:lang w:eastAsia="cs-CZ"/>
        </w:rPr>
        <w:t>síly s Pavlem Ptáčníkem z VVZP.</w:t>
      </w:r>
    </w:p>
    <w:p w:rsidR="00E54BBA" w:rsidRPr="00E54BBA"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Výsledkem schůzky na Ministerstvu zdravotnictví bylo doporučení obrátit se s naším podnětem na komisi pro kategorizaci a úhradovou regulaci zdravotnických prostředků. To jsme ve spolupráci s Vládním výborem učinili. V podnětu žádáme kontinuální zajištění stoprocentní úhrady bílých a červenobílých holí z veřejného zdravotního pojištění, přitom se smiřujeme s přijetím kompromisu nár</w:t>
      </w:r>
      <w:r>
        <w:rPr>
          <w:rFonts w:ascii="Times New Roman" w:hAnsi="Times New Roman" w:cs="Times New Roman"/>
          <w:color w:val="00000A"/>
          <w:sz w:val="24"/>
          <w:szCs w:val="24"/>
          <w:lang w:eastAsia="cs-CZ"/>
        </w:rPr>
        <w:t>oku na úhradu dvou holí za rok.</w:t>
      </w:r>
    </w:p>
    <w:p w:rsidR="00E54BBA" w:rsidRPr="00883957" w:rsidRDefault="00E54BBA" w:rsidP="00E54BBA">
      <w:pPr>
        <w:widowControl/>
        <w:overflowPunct w:val="0"/>
        <w:spacing w:beforeAutospacing="1" w:afterAutospacing="1" w:line="240" w:lineRule="auto"/>
        <w:ind w:firstLine="0"/>
        <w:rPr>
          <w:rFonts w:ascii="Times New Roman" w:hAnsi="Times New Roman" w:cs="Times New Roman"/>
          <w:b/>
          <w:color w:val="00000A"/>
          <w:sz w:val="24"/>
          <w:szCs w:val="24"/>
          <w:lang w:eastAsia="cs-CZ"/>
        </w:rPr>
      </w:pPr>
      <w:r w:rsidRPr="00883957">
        <w:rPr>
          <w:rFonts w:ascii="Times New Roman" w:hAnsi="Times New Roman" w:cs="Times New Roman"/>
          <w:b/>
          <w:color w:val="00000A"/>
          <w:sz w:val="24"/>
          <w:szCs w:val="24"/>
          <w:lang w:eastAsia="cs-CZ"/>
        </w:rPr>
        <w:t>Je snad příznivé, že náš podnět byl zařazen na nejbližší jednání komise, které proběhne 14.</w:t>
      </w:r>
      <w:r w:rsidR="00D40C12" w:rsidRPr="00883957">
        <w:rPr>
          <w:rFonts w:ascii="Times New Roman" w:hAnsi="Times New Roman" w:cs="Times New Roman"/>
          <w:b/>
          <w:color w:val="00000A"/>
          <w:sz w:val="24"/>
          <w:szCs w:val="24"/>
          <w:lang w:eastAsia="cs-CZ"/>
        </w:rPr>
        <w:t> </w:t>
      </w:r>
      <w:r w:rsidRPr="00883957">
        <w:rPr>
          <w:rFonts w:ascii="Times New Roman" w:hAnsi="Times New Roman" w:cs="Times New Roman"/>
          <w:b/>
          <w:color w:val="00000A"/>
          <w:sz w:val="24"/>
          <w:szCs w:val="24"/>
          <w:lang w:eastAsia="cs-CZ"/>
        </w:rPr>
        <w:t>března t</w:t>
      </w:r>
      <w:r w:rsidR="00D40C12" w:rsidRPr="00883957">
        <w:rPr>
          <w:rFonts w:ascii="Times New Roman" w:hAnsi="Times New Roman" w:cs="Times New Roman"/>
          <w:b/>
          <w:color w:val="00000A"/>
          <w:sz w:val="24"/>
          <w:szCs w:val="24"/>
          <w:lang w:eastAsia="cs-CZ"/>
        </w:rPr>
        <w:t xml:space="preserve">ohoto </w:t>
      </w:r>
      <w:r w:rsidRPr="00883957">
        <w:rPr>
          <w:rFonts w:ascii="Times New Roman" w:hAnsi="Times New Roman" w:cs="Times New Roman"/>
          <w:b/>
          <w:color w:val="00000A"/>
          <w:sz w:val="24"/>
          <w:szCs w:val="24"/>
          <w:lang w:eastAsia="cs-CZ"/>
        </w:rPr>
        <w:t>r</w:t>
      </w:r>
      <w:r w:rsidR="00D40C12" w:rsidRPr="00883957">
        <w:rPr>
          <w:rFonts w:ascii="Times New Roman" w:hAnsi="Times New Roman" w:cs="Times New Roman"/>
          <w:b/>
          <w:color w:val="00000A"/>
          <w:sz w:val="24"/>
          <w:szCs w:val="24"/>
          <w:lang w:eastAsia="cs-CZ"/>
        </w:rPr>
        <w:t>oku</w:t>
      </w:r>
      <w:r w:rsidRPr="00883957">
        <w:rPr>
          <w:rFonts w:ascii="Times New Roman" w:hAnsi="Times New Roman" w:cs="Times New Roman"/>
          <w:b/>
          <w:color w:val="00000A"/>
          <w:sz w:val="24"/>
          <w:szCs w:val="24"/>
          <w:lang w:eastAsia="cs-CZ"/>
        </w:rPr>
        <w:t>.</w:t>
      </w:r>
    </w:p>
    <w:p w:rsidR="0072554B" w:rsidRPr="0072554B" w:rsidRDefault="00E54BBA" w:rsidP="00E54BBA">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883957">
        <w:rPr>
          <w:rFonts w:ascii="Times New Roman" w:hAnsi="Times New Roman" w:cs="Times New Roman"/>
          <w:b/>
          <w:color w:val="00000A"/>
          <w:sz w:val="24"/>
          <w:szCs w:val="24"/>
          <w:lang w:eastAsia="cs-CZ"/>
        </w:rPr>
        <w:t>Obavu o zhoršení dostupnosti bílých a červenobílých holí jsme zároveň dali na vědomí i</w:t>
      </w:r>
      <w:r w:rsidR="00D40C12" w:rsidRPr="00883957">
        <w:rPr>
          <w:rFonts w:ascii="Times New Roman" w:hAnsi="Times New Roman" w:cs="Times New Roman"/>
          <w:b/>
          <w:color w:val="00000A"/>
          <w:sz w:val="24"/>
          <w:szCs w:val="24"/>
          <w:lang w:eastAsia="cs-CZ"/>
        </w:rPr>
        <w:t> </w:t>
      </w:r>
      <w:r w:rsidRPr="00883957">
        <w:rPr>
          <w:rFonts w:ascii="Times New Roman" w:hAnsi="Times New Roman" w:cs="Times New Roman"/>
          <w:b/>
          <w:color w:val="00000A"/>
          <w:sz w:val="24"/>
          <w:szCs w:val="24"/>
          <w:lang w:eastAsia="cs-CZ"/>
        </w:rPr>
        <w:t>poradnímu orgánu veřejné ochránkyně práv i Radě pacientů.</w:t>
      </w:r>
      <w:r w:rsidRPr="00E54BBA">
        <w:rPr>
          <w:rFonts w:ascii="Times New Roman" w:hAnsi="Times New Roman" w:cs="Times New Roman"/>
          <w:color w:val="00000A"/>
          <w:sz w:val="24"/>
          <w:szCs w:val="24"/>
          <w:lang w:eastAsia="cs-CZ"/>
        </w:rPr>
        <w:t xml:space="preserve"> Doufáme, že naše úsilí přinese výsledky, o nichž Vás samozřejmě budeme informovat.</w:t>
      </w:r>
    </w:p>
    <w:p w:rsidR="0072554B" w:rsidRPr="0072554B" w:rsidRDefault="0072554B" w:rsidP="0072554B">
      <w:pPr>
        <w:widowControl/>
        <w:overflowPunct w:val="0"/>
        <w:spacing w:beforeAutospacing="1" w:afterAutospacing="1" w:line="240" w:lineRule="auto"/>
        <w:ind w:firstLine="0"/>
        <w:rPr>
          <w:rFonts w:ascii="Times New Roman" w:hAnsi="Times New Roman" w:cs="Times New Roman"/>
          <w:color w:val="00000A"/>
          <w:sz w:val="24"/>
          <w:szCs w:val="24"/>
          <w:lang w:eastAsia="cs-CZ"/>
        </w:rPr>
      </w:pPr>
    </w:p>
    <w:p w:rsidR="00E557E9" w:rsidRDefault="00E54BBA" w:rsidP="0072554B">
      <w:pPr>
        <w:widowControl/>
        <w:overflowPunct w:val="0"/>
        <w:spacing w:beforeAutospacing="1" w:afterAutospacing="1" w:line="240" w:lineRule="auto"/>
        <w:ind w:firstLine="0"/>
        <w:rPr>
          <w:rFonts w:ascii="Times New Roman" w:hAnsi="Times New Roman" w:cs="Times New Roman"/>
          <w:color w:val="00000A"/>
          <w:sz w:val="24"/>
          <w:szCs w:val="24"/>
          <w:lang w:eastAsia="cs-CZ"/>
        </w:rPr>
      </w:pPr>
      <w:r w:rsidRPr="00E54BBA">
        <w:rPr>
          <w:rFonts w:ascii="Times New Roman" w:hAnsi="Times New Roman" w:cs="Times New Roman"/>
          <w:color w:val="00000A"/>
          <w:sz w:val="24"/>
          <w:szCs w:val="24"/>
          <w:lang w:eastAsia="cs-CZ"/>
        </w:rPr>
        <w:t>Za Sociálně právní poradnu SONS v Praze</w:t>
      </w:r>
    </w:p>
    <w:p w:rsidR="00E557E9" w:rsidRDefault="00CC21B3">
      <w:pPr>
        <w:widowControl/>
        <w:overflowPunct w:val="0"/>
        <w:spacing w:beforeAutospacing="1" w:afterAutospacing="1" w:line="240" w:lineRule="auto"/>
        <w:ind w:firstLine="0"/>
      </w:pPr>
      <w:r w:rsidRPr="00CC21B3">
        <w:rPr>
          <w:rFonts w:ascii="Times New Roman" w:hAnsi="Times New Roman" w:cs="Times New Roman"/>
          <w:b/>
          <w:i/>
          <w:color w:val="00000A"/>
          <w:sz w:val="24"/>
          <w:szCs w:val="24"/>
          <w:lang w:eastAsia="cs-CZ"/>
        </w:rPr>
        <w:t>Luboš Zajíc</w:t>
      </w:r>
    </w:p>
    <w:sectPr w:rsidR="00E557E9">
      <w:pgSz w:w="11906" w:h="16838"/>
      <w:pgMar w:top="1417" w:right="1417" w:bottom="1417" w:left="1417"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20B0604020202020204"/>
    <w:charset w:val="01"/>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panose1 w:val="020B0504020202020204"/>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1">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3">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9"/>
    <w:rsid w:val="000C0F25"/>
    <w:rsid w:val="00144048"/>
    <w:rsid w:val="001B3C11"/>
    <w:rsid w:val="001F56A2"/>
    <w:rsid w:val="002B093C"/>
    <w:rsid w:val="003F23F2"/>
    <w:rsid w:val="00457DF9"/>
    <w:rsid w:val="004D1C77"/>
    <w:rsid w:val="00520303"/>
    <w:rsid w:val="005546C1"/>
    <w:rsid w:val="0069006D"/>
    <w:rsid w:val="0072554B"/>
    <w:rsid w:val="00753FF9"/>
    <w:rsid w:val="00754FE6"/>
    <w:rsid w:val="00791A90"/>
    <w:rsid w:val="007949F0"/>
    <w:rsid w:val="00805E2D"/>
    <w:rsid w:val="00865F2A"/>
    <w:rsid w:val="00883957"/>
    <w:rsid w:val="008B0567"/>
    <w:rsid w:val="0094210C"/>
    <w:rsid w:val="009F0739"/>
    <w:rsid w:val="00AC5736"/>
    <w:rsid w:val="00BD6FB6"/>
    <w:rsid w:val="00C27805"/>
    <w:rsid w:val="00CB5127"/>
    <w:rsid w:val="00CC21B3"/>
    <w:rsid w:val="00D40C12"/>
    <w:rsid w:val="00E06244"/>
    <w:rsid w:val="00E3673B"/>
    <w:rsid w:val="00E54BBA"/>
    <w:rsid w:val="00E557E9"/>
    <w:rsid w:val="00EF50C9"/>
    <w:rsid w:val="00F076C8"/>
    <w:rsid w:val="00FC244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6463-F111-40C2-9483-C523C2A1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1041</Words>
  <Characters>6144</Characters>
  <Application>Microsoft Office Word</Application>
  <DocSecurity>0</DocSecurity>
  <Lines>51</Lines>
  <Paragraphs>14</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Informace a odpovědi na dotazy ze Sociálně právní poradny SONS v Praze 04/2019</vt:lpstr>
      <vt:lpstr>    Oprava ke zvýšení příspěvku na péči </vt:lpstr>
      <vt:lpstr>    Budeme si doplácet na bílé hole? </vt:lpstr>
    </vt:vector>
  </TitlesOfParts>
  <Company>Hewlett-Packard Company</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7</cp:revision>
  <dcterms:created xsi:type="dcterms:W3CDTF">2019-05-10T09:13:00Z</dcterms:created>
  <dcterms:modified xsi:type="dcterms:W3CDTF">2019-05-10T12:22:00Z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