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9" w:rsidRDefault="00E06244">
      <w:pPr>
        <w:widowControl/>
        <w:overflowPunct w:val="0"/>
        <w:spacing w:beforeAutospacing="1" w:afterAutospacing="1" w:line="240" w:lineRule="auto"/>
        <w:ind w:firstLine="0"/>
        <w:jc w:val="center"/>
        <w:outlineLvl w:val="0"/>
      </w:pPr>
      <w:r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Informace a odpovědi na dotazy ze Sociáln</w:t>
      </w:r>
      <w:r w:rsidR="004D1C77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 xml:space="preserve">ě právní poradny SONS v Praze </w:t>
      </w:r>
      <w:r w:rsidR="005546C1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0</w:t>
      </w:r>
      <w:r w:rsidR="00457DF9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2</w:t>
      </w:r>
      <w:r w:rsidR="005546C1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/2019</w:t>
      </w:r>
    </w:p>
    <w:p w:rsidR="004D1C77" w:rsidRDefault="00457DF9" w:rsidP="00E06244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Ve druhém článku roku 2019 se zaměříme na dvě témata:</w:t>
      </w:r>
      <w:r w:rsidR="004D1C77" w:rsidRPr="004D1C77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</w:p>
    <w:p w:rsidR="00457DF9" w:rsidRDefault="00DD1B5E" w:rsidP="00457DF9">
      <w:pPr>
        <w:widowControl/>
        <w:numPr>
          <w:ilvl w:val="0"/>
          <w:numId w:val="1"/>
        </w:numPr>
        <w:overflowPunct w:val="0"/>
        <w:spacing w:beforeAutospacing="1" w:afterAutospacing="1" w:line="240" w:lineRule="auto"/>
        <w:rPr>
          <w:sz w:val="24"/>
          <w:szCs w:val="24"/>
        </w:rPr>
      </w:pPr>
      <w:hyperlink w:anchor="Vypocet_vyse_podpory_v_nezamestnanosti" w:history="1">
        <w:r w:rsidR="00457DF9" w:rsidRPr="008433BF">
          <w:rPr>
            <w:rStyle w:val="Hypertextovodkaz"/>
            <w:sz w:val="24"/>
            <w:szCs w:val="24"/>
          </w:rPr>
          <w:t>výše podpory v nezaměstnanosti a při rekvalifikaci s ohledem na aktuální výši průměrné mzdy v národním hospodářství</w:t>
        </w:r>
      </w:hyperlink>
      <w:r w:rsidR="00457DF9">
        <w:rPr>
          <w:sz w:val="24"/>
          <w:szCs w:val="24"/>
        </w:rPr>
        <w:t>,</w:t>
      </w:r>
    </w:p>
    <w:p w:rsidR="005546C1" w:rsidRPr="00457DF9" w:rsidRDefault="00DD1B5E" w:rsidP="00457DF9">
      <w:pPr>
        <w:widowControl/>
        <w:numPr>
          <w:ilvl w:val="0"/>
          <w:numId w:val="1"/>
        </w:numPr>
        <w:overflowPunct w:val="0"/>
        <w:spacing w:beforeAutospacing="1" w:afterAutospacing="1" w:line="240" w:lineRule="auto"/>
        <w:rPr>
          <w:sz w:val="24"/>
          <w:szCs w:val="24"/>
        </w:rPr>
      </w:pPr>
      <w:hyperlink w:anchor="Prispevek_na_OrCam_MyEye_2" w:history="1">
        <w:r w:rsidR="00457DF9" w:rsidRPr="008433BF">
          <w:rPr>
            <w:rStyle w:val="Hypertextovodkaz"/>
            <w:sz w:val="24"/>
            <w:szCs w:val="24"/>
          </w:rPr>
          <w:t xml:space="preserve">informace k možnosti žádat o příspěvek na zvláštní pomůcku </w:t>
        </w:r>
        <w:proofErr w:type="spellStart"/>
        <w:r w:rsidR="00457DF9" w:rsidRPr="008433BF">
          <w:rPr>
            <w:rStyle w:val="Hypertextovodkaz"/>
            <w:sz w:val="24"/>
            <w:szCs w:val="24"/>
          </w:rPr>
          <w:t>OrCam</w:t>
        </w:r>
        <w:proofErr w:type="spellEnd"/>
        <w:r w:rsidR="00457DF9" w:rsidRPr="008433BF">
          <w:rPr>
            <w:rStyle w:val="Hypertextovodkaz"/>
            <w:sz w:val="24"/>
            <w:szCs w:val="24"/>
          </w:rPr>
          <w:t xml:space="preserve"> </w:t>
        </w:r>
        <w:proofErr w:type="spellStart"/>
        <w:r w:rsidR="00457DF9" w:rsidRPr="008433BF">
          <w:rPr>
            <w:rStyle w:val="Hypertextovodkaz"/>
            <w:sz w:val="24"/>
            <w:szCs w:val="24"/>
          </w:rPr>
          <w:t>MyEye</w:t>
        </w:r>
        <w:proofErr w:type="spellEnd"/>
      </w:hyperlink>
      <w:r w:rsidR="00457DF9">
        <w:rPr>
          <w:sz w:val="24"/>
          <w:szCs w:val="24"/>
        </w:rPr>
        <w:t>.</w:t>
      </w:r>
    </w:p>
    <w:p w:rsidR="004D1C77" w:rsidRPr="004D1C77" w:rsidRDefault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0" w:name="Vypocet_vyse_podpory_v_nezamestnanosti"/>
      <w:r w:rsidRPr="00457DF9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Jak se vypočítává výše podpory v nezaměstnanosti a při rekvalifikaci?</w:t>
      </w:r>
    </w:p>
    <w:p w:rsidR="00457DF9" w:rsidRPr="00457DF9" w:rsidRDefault="00457DF9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bookmarkStart w:id="1" w:name="__DdeLink__254_46380079"/>
      <w:bookmarkEnd w:id="0"/>
      <w:bookmarkEnd w:id="1"/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 minulém článku jsme informovali o nárůstu minimální mzdy od počátku roku 2019, nyní bychom rádi upozornili i na fakt, že vzrostla také průměrná mzda za první až třetí čtvrtletí předcházejícího kalendářního roku, která má vliv na některé příspěvky a dávky, my se však nyní zaměříme na vliv této částky na pravidla pro podporu v nezaměstnanosti a při rekvalifikaci. Předem se omlouváme, že tato pasáž bude poněkud zatížena číselnými údaji, ale bez nich by postrádala svoji informační hodnotu.</w:t>
      </w:r>
    </w:p>
    <w:p w:rsidR="00457DF9" w:rsidRPr="00457DF9" w:rsidRDefault="00457DF9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Ze sdělení Ministerstva práce a sociálních věcí vydaného pod číslem 311/2018 Sb. vyplývá, že průměrná mzda v národním hospodářství za 1. až 3. čtvr</w:t>
      </w:r>
      <w:r w:rsidR="00805E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tletí 2018 činí 31 225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Oproti minulému ro</w:t>
      </w:r>
      <w:r w:rsidR="00805E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ku tedy došlo k nárůstu o 2 464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</w:t>
      </w:r>
    </w:p>
    <w:p w:rsidR="00457DF9" w:rsidRPr="00457DF9" w:rsidRDefault="00457DF9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Výše podpory v nezaměstnanosti se vypočítává z průměrného měsíčního výdělku v posledním skončeném zaměstnání, popř. u OSVČ z posledního vyměřovacího základu přepočteného na jeden měsíc. Procentní sazba podpory v nezaměstnanosti činí </w:t>
      </w:r>
      <w:r w:rsidR="00805E2D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první 2 měsíce podpůrčí doby 65 %, další 2 měsíce 50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a po zbývající podpůrčí dobu 45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% průměrného měsíčního čistého výdělku nebo vyměřovacího základu.</w:t>
      </w:r>
    </w:p>
    <w:p w:rsidR="00457DF9" w:rsidRPr="00457DF9" w:rsidRDefault="00457DF9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Pokud však uchazeč o zaměstnání před zařazením do evidence bez vážného důvodu ukončil poslední zaměstnání sám, činí procentní sazba podpory v nezaměstnanosti 45 % po celou podpůrčí dobu.</w:t>
      </w:r>
    </w:p>
    <w:p w:rsidR="00457DF9" w:rsidRPr="00457DF9" w:rsidRDefault="00457DF9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Ovšem ne vždy je možné poslední průměrný měsíční výdělek stanovit, např. tehdy, když uchazeč splní podmínku zaměstnání náhradní dobou, třeba péčí o dítě do čtyř let nebo tím, že je poživatelem invalidního důchodu pro invaliditu III. stupně. Právě v těch případech se výše podpory v nezaměstnanosti stanoví ve výši 0,15, 0,12 a 0,11 násobku průměrné měsíční mzdy, kterou jsme uvedli výše. To znamená, že po první dva měsíce podpůrčí doby by letos takovýmto oso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bám byla vyplácena částka 4 684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Kč, p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 další dva měsíce částka 3 747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 a po zb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ytek podpůrčí doby částka 3 435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 U podpory při rekvalifikaci by pak šlo o 0,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14 násobek, tedy 4 372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 měsíčně po celou podpůrčí dobu.</w:t>
      </w:r>
    </w:p>
    <w:p w:rsidR="00457DF9" w:rsidRDefault="00457DF9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Ale průměrná mzda v národním hospodářství má význam i pro stanovení maxima vyplácené podpory v nezaměstnanosti, která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pro rok 2019 bude činit 18 111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Kč, při rekvalifikaci pak maximum podpory činí 20</w:t>
      </w:r>
      <w:r w:rsid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296 </w:t>
      </w:r>
      <w:r w:rsidRPr="00457DF9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Kč.</w:t>
      </w:r>
    </w:p>
    <w:p w:rsidR="004D1C77" w:rsidRPr="004D1C77" w:rsidRDefault="007949F0" w:rsidP="00457DF9">
      <w:pPr>
        <w:widowControl/>
        <w:overflowPunct w:val="0"/>
        <w:spacing w:beforeAutospacing="1" w:afterAutospacing="1" w:line="240" w:lineRule="auto"/>
        <w:ind w:firstLine="0"/>
        <w:outlineLvl w:val="1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2" w:name="Prispevek_na_OrCam_MyEye_2"/>
      <w:r w:rsidRPr="007949F0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lastRenderedPageBreak/>
        <w:t xml:space="preserve">Nyní je již možné žádat o příspěvek na </w:t>
      </w:r>
      <w:proofErr w:type="spellStart"/>
      <w:r w:rsidRPr="007949F0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 xml:space="preserve"> </w:t>
      </w:r>
      <w:proofErr w:type="spellStart"/>
      <w:r w:rsidRPr="007949F0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MyEye</w:t>
      </w:r>
      <w:proofErr w:type="spellEnd"/>
    </w:p>
    <w:bookmarkEnd w:id="2"/>
    <w:p w:rsid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Koncem měsíce srpna loňského roku byla poprvé SONS kontaktována orgány veřejné moci s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žádostí o konzultaci stanoviska k žádostem o příspěvek na zvláštní pomůcku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MyEye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. Záležitostí se nejdříve začalo zabývat oddělení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Tyflokabinetu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, které z věcného hlediska zkoumalo, nakolik je tato pomůcka užitečná, pro které kategorie zrakového postižení, s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jakými jinými pomůckami je tato nová pomůcka srovnatelná, v čem tkví její jedinečnost, atp. Se závěry, které z tohoto testování vyplynuly, čtenáře TÉČKA (přílohy Zory) v listopadu 2018 seznámil redaktor Jan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Šnyrych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v článku s </w:t>
      </w:r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 xml:space="preserve">názvem „O kameře </w:t>
      </w:r>
      <w:proofErr w:type="spellStart"/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>OrCam</w:t>
      </w:r>
      <w:proofErr w:type="spellEnd"/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 xml:space="preserve"> </w:t>
      </w:r>
      <w:proofErr w:type="spellStart"/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>MyEye</w:t>
      </w:r>
      <w:proofErr w:type="spellEnd"/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 xml:space="preserve"> 2 střízlivě a s nohama na zemi“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. Článek je pro zájemce zveřejněn na stránkách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Tyflokabinetu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SONS:</w:t>
      </w:r>
    </w:p>
    <w:p w:rsidR="007949F0" w:rsidRPr="007949F0" w:rsidRDefault="00DD1B5E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hyperlink r:id="rId7" w:history="1">
        <w:r w:rsidR="007949F0" w:rsidRPr="00623A67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www.tyflokabinet.cz/clanky/tecko/orcam</w:t>
        </w:r>
      </w:hyperlink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Po předání výsledků testování Ministerstvu práce a sociálních věcí nastala fáze jednání, jejímž cílem bylo najít způsob, jakým se český stát k žádostem o příspěvek na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postaví, s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ohledem k platné legislativě. O závěrech těchto jednání Vás právě v následujících řádcích budeme informovat.</w:t>
      </w:r>
    </w:p>
    <w:p w:rsidR="007949F0" w:rsidRPr="00CC21B3" w:rsidRDefault="007949F0" w:rsidP="007949F0">
      <w:pPr>
        <w:widowControl/>
        <w:spacing w:before="100" w:beforeAutospacing="1" w:after="100" w:afterAutospacing="1" w:line="240" w:lineRule="auto"/>
        <w:ind w:firstLine="0"/>
        <w:outlineLvl w:val="2"/>
      </w:pPr>
      <w:r w:rsidRPr="007949F0">
        <w:rPr>
          <w:rFonts w:ascii="Times New Roman" w:hAnsi="Times New Roman" w:cs="Times New Roman"/>
          <w:b/>
          <w:bCs/>
          <w:color w:val="00000A"/>
          <w:sz w:val="27"/>
          <w:szCs w:val="27"/>
          <w:lang w:eastAsia="cs-CZ"/>
        </w:rPr>
        <w:t>Za nejpodstatnější závěr lze určitě označit tento: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lze považovat za digitální čtecí přístroj pro nevidomé s hlasovým výstupem (viz příloha č. 1., část II, bod 2, písm. h) vyhlášky č. 388/2011 Sb.). To znamená, že na tuto pomůcku mohou získat příspěvek osoby se zdravotním postižením uvedeným v části I. bodě 2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písm. a) a b) přílohy zákona o poskytování dávek osob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ám se zdravotním postižením (z. </w:t>
      </w:r>
      <w:proofErr w:type="gram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č.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329/2011 Sb.), tedy úplně nevidomí nebo prakticky nevidomí žadatelé.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Zároveň MPSV zdůraznilo nutnost pečlivého zkoumání nároku na příspěvek na tuto pomůcku a doporučilo, aby žadatelé před podáním žádosti absolvovali konzultaci v dceřiné společnosti SONS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Tyfloservis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, o.p.s., jejíž pracovníci individuálně s každým zájemcem detailně proberou důvod a způsob, jakým by chtěl žadatel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využívat, zda očekávání žadatele pomůcka skutečně může naplnit a v neposlední řadě i to, zda neexistují jiné pomůcky, které by žadatelovy potřeby mohly splnit lépe. Posouzení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Tyfloservisu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pak bude využito jako jednoho z podkladů pro vydání rozhodnutí. Jednoznačně jako nedostačující podklad byla jmenována případná stanoviska dodavatelských společností či jimi zřízených </w:t>
      </w:r>
      <w:r w:rsidR="00DD1B5E"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>„</w:t>
      </w:r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>poradenských pracovišť”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.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Žádosti by nemělo být vyhověno např. tehdy, pokud již žadatel využívá elektronické multifunkční komunikační pomůcky na bázi chytrého telefonu, neboť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oproti těmto pomůckám nepřináší v zásadě žádné nové funkce, které by nebyly skrze jednotlivé aplikace dosažitelné.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Stejně tak postrádá smysl, aby příspěvek na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získaly osoby, které se nepohybují samostatně (bez průvodce) v exteriéru, neboť výhodou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OrCamu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oproti již nyní existujícím pomůckám je zejména jeho jednoduchá přenosnost; „textové“ čtecí funkce lze v domácím prostředí zajistit jinými vhodnými pomůckami, ať již na bázi stolního PC, notebooku či jednoúčelových čtecích zařízení, dle schopností a požadavků žadatele.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Ve stanovisku MPSV se dále objevuje konstatování, že </w:t>
      </w:r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 xml:space="preserve">„využívá-li klient </w:t>
      </w:r>
      <w:proofErr w:type="spellStart"/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>Orcam</w:t>
      </w:r>
      <w:proofErr w:type="spellEnd"/>
      <w:r w:rsidRPr="00DD1B5E">
        <w:rPr>
          <w:rFonts w:ascii="Times New Roman" w:hAnsi="Times New Roman" w:cs="Times New Roman"/>
          <w:i/>
          <w:color w:val="00000A"/>
          <w:sz w:val="24"/>
          <w:szCs w:val="24"/>
          <w:lang w:eastAsia="cs-CZ"/>
        </w:rPr>
        <w:t>, není zpravidla důvod pro poskytnutí příspěvku na zvláštní pomůcku na pořízení kamerové lupy.“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Příspěvek na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dále nezískají osoby, kterým by ve využití pomůcky mohly bránit další přidružená postižení, jako je např. třes hlavy, třes horních končetin, závažné sluchové postižení, atd.</w:t>
      </w:r>
    </w:p>
    <w:p w:rsidR="007949F0" w:rsidRPr="007949F0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Během jednání bylo SONS jednoznačně hájeno stanovisko a po určitých diskusích bylo přijato i pracovníky Ministerstva práce a sociálních věcí, že pomůcku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MyEye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není jako celek možné srovnávat s jinou pomůckou ve smyslu hledání odlišné pomůcky v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základním provedení a nejnižší ekonomickou náročností, ve smyslu ustanovení § 9 odst. 10 zákona o poskytování dávek OZP. To v praxi znamená, že by zde nemělo docházet ke snižování předpokládané ceny pomůcky, z níž se výše příspěvku odvozuje. Tento stav by tedy měl platit do doby, než se objeví na trhu další pomůcky s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OrCamem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funkčně srovnatelné.</w:t>
      </w:r>
    </w:p>
    <w:p w:rsidR="007949F0" w:rsidRPr="00CC21B3" w:rsidRDefault="007949F0" w:rsidP="007949F0">
      <w:pPr>
        <w:widowControl/>
        <w:spacing w:before="100" w:beforeAutospacing="1" w:after="100" w:afterAutospacing="1" w:line="240" w:lineRule="auto"/>
        <w:ind w:firstLine="0"/>
        <w:outlineLvl w:val="2"/>
      </w:pPr>
      <w:r w:rsidRPr="007949F0">
        <w:rPr>
          <w:rFonts w:ascii="Times New Roman" w:hAnsi="Times New Roman" w:cs="Times New Roman"/>
          <w:b/>
          <w:bCs/>
          <w:color w:val="00000A"/>
          <w:sz w:val="27"/>
          <w:szCs w:val="27"/>
          <w:lang w:eastAsia="cs-CZ"/>
        </w:rPr>
        <w:t>Z</w:t>
      </w:r>
      <w:r>
        <w:rPr>
          <w:rFonts w:ascii="Times New Roman" w:hAnsi="Times New Roman" w:cs="Times New Roman"/>
          <w:b/>
          <w:bCs/>
          <w:color w:val="00000A"/>
          <w:sz w:val="27"/>
          <w:szCs w:val="27"/>
          <w:lang w:eastAsia="cs-CZ"/>
        </w:rPr>
        <w:t>ávěr</w:t>
      </w:r>
    </w:p>
    <w:p w:rsidR="00CC21B3" w:rsidRDefault="007949F0" w:rsidP="007949F0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 současné době lze tedy doporučit, aby si ti prakticky a úplně nevidomí, kteří jsou o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osobním přínosu pomůcky pro ně přesvědčeni, sjednali svou návštěvu v nejbližším krajském středisku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Tyfloservisu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. Pokud výsledkem jejich konzultace v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Tyfloservisu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bude totožný závěr, tedy že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MyEye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je pro ně opra</w:t>
      </w:r>
      <w:bookmarkStart w:id="3" w:name="_GoBack"/>
      <w:bookmarkEnd w:id="3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vdu užitečnou pomůckou, pak mohou podat žádost na kontaktním pracovišti místně příslušné krajské pobočky Úřadu práce. Žádost by tentokrát již neměla být zamítnuta s odůvodněním, že pomůcka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OrCam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proofErr w:type="spellStart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MyEye</w:t>
      </w:r>
      <w:proofErr w:type="spellEnd"/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není pomůckou uvedenou v seznamu zvláštních pomůcek, na které se poskytuje příspěvek, že s</w:t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949F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nimi není ani pomůckou srovnatelnou, ale jejich nárok by měl být posouzen a v případě splnění zákonných podmínek a reálných možností využití pomůcky (viz informace uvedené výše), by jim měl být příspěvek poskytnut.</w:t>
      </w:r>
    </w:p>
    <w:p w:rsidR="00E557E9" w:rsidRDefault="00E557E9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</w:p>
    <w:p w:rsidR="00E557E9" w:rsidRDefault="00E06244">
      <w:pPr>
        <w:widowControl/>
        <w:overflowPunct w:val="0"/>
        <w:spacing w:beforeAutospacing="1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Za Sociálně právní poradnu SONS v Praze</w:t>
      </w:r>
    </w:p>
    <w:p w:rsidR="00E557E9" w:rsidRDefault="00CC21B3">
      <w:pPr>
        <w:widowControl/>
        <w:overflowPunct w:val="0"/>
        <w:spacing w:beforeAutospacing="1" w:afterAutospacing="1" w:line="240" w:lineRule="auto"/>
        <w:ind w:firstLine="0"/>
      </w:pPr>
      <w:r w:rsidRPr="00CC21B3">
        <w:rPr>
          <w:rFonts w:ascii="Times New Roman" w:hAnsi="Times New Roman" w:cs="Times New Roman"/>
          <w:b/>
          <w:i/>
          <w:color w:val="00000A"/>
          <w:sz w:val="24"/>
          <w:szCs w:val="24"/>
          <w:lang w:eastAsia="cs-CZ"/>
        </w:rPr>
        <w:t>Luboš Zajíc</w:t>
      </w:r>
    </w:p>
    <w:sectPr w:rsidR="00E557E9">
      <w:pgSz w:w="11906" w:h="16838"/>
      <w:pgMar w:top="1417" w:right="1417" w:bottom="1417" w:left="1417" w:header="0" w:footer="0" w:gutter="0"/>
      <w:cols w:space="708"/>
      <w:formProt w:val="0"/>
      <w:docGrid w:linePitch="360" w:charSpace="-18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Biolinum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20B0504020202020204"/>
    <w:charset w:val="EE"/>
    <w:family w:val="swiss"/>
    <w:pitch w:val="variable"/>
    <w:sig w:usb0="E4078EFF" w:usb1="4200FDFF" w:usb2="000030A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1D6"/>
    <w:multiLevelType w:val="multilevel"/>
    <w:tmpl w:val="DDEAF722"/>
    <w:lvl w:ilvl="0">
      <w:start w:val="1"/>
      <w:numFmt w:val="bullet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22"/>
        </w:tabs>
        <w:ind w:left="13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2"/>
        </w:tabs>
        <w:ind w:left="16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2"/>
        </w:tabs>
        <w:ind w:left="20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02"/>
        </w:tabs>
        <w:ind w:left="24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2"/>
        </w:tabs>
        <w:ind w:left="27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2"/>
        </w:tabs>
        <w:ind w:left="31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82"/>
        </w:tabs>
        <w:ind w:left="34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2"/>
        </w:tabs>
        <w:ind w:left="3842" w:hanging="360"/>
      </w:pPr>
      <w:rPr>
        <w:rFonts w:ascii="OpenSymbol" w:hAnsi="OpenSymbol" w:cs="OpenSymbol" w:hint="default"/>
      </w:rPr>
    </w:lvl>
  </w:abstractNum>
  <w:abstractNum w:abstractNumId="1">
    <w:nsid w:val="1D993B97"/>
    <w:multiLevelType w:val="hybridMultilevel"/>
    <w:tmpl w:val="BBF89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85121"/>
    <w:multiLevelType w:val="multilevel"/>
    <w:tmpl w:val="5F2CB948"/>
    <w:lvl w:ilvl="0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75"/>
        </w:tabs>
        <w:ind w:left="137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35"/>
        </w:tabs>
        <w:ind w:left="173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55"/>
        </w:tabs>
        <w:ind w:left="245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15"/>
        </w:tabs>
        <w:ind w:left="28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35"/>
        </w:tabs>
        <w:ind w:left="353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95"/>
        </w:tabs>
        <w:ind w:left="3895" w:hanging="360"/>
      </w:pPr>
      <w:rPr>
        <w:rFonts w:ascii="OpenSymbol" w:hAnsi="OpenSymbol" w:cs="OpenSymbol" w:hint="default"/>
      </w:rPr>
    </w:lvl>
  </w:abstractNum>
  <w:abstractNum w:abstractNumId="3">
    <w:nsid w:val="31844CE1"/>
    <w:multiLevelType w:val="hybridMultilevel"/>
    <w:tmpl w:val="3834B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D4B"/>
    <w:multiLevelType w:val="multilevel"/>
    <w:tmpl w:val="08E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F125BB1"/>
    <w:multiLevelType w:val="multilevel"/>
    <w:tmpl w:val="BFB2AC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397754"/>
    <w:multiLevelType w:val="hybridMultilevel"/>
    <w:tmpl w:val="47DAC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E9"/>
    <w:rsid w:val="003F23F2"/>
    <w:rsid w:val="00457DF9"/>
    <w:rsid w:val="004D1C77"/>
    <w:rsid w:val="00520303"/>
    <w:rsid w:val="005546C1"/>
    <w:rsid w:val="007949F0"/>
    <w:rsid w:val="00805E2D"/>
    <w:rsid w:val="008433BF"/>
    <w:rsid w:val="00865F2A"/>
    <w:rsid w:val="0094210C"/>
    <w:rsid w:val="00CC21B3"/>
    <w:rsid w:val="00DD1B5E"/>
    <w:rsid w:val="00E06244"/>
    <w:rsid w:val="00E3673B"/>
    <w:rsid w:val="00E557E9"/>
    <w:rsid w:val="00EF50C9"/>
    <w:rsid w:val="00F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spacing w:line="400" w:lineRule="exact"/>
      <w:ind w:firstLine="566"/>
      <w:jc w:val="both"/>
    </w:pPr>
    <w:rPr>
      <w:rFonts w:ascii="Linux Biolinum" w:hAnsi="Linux Biolinum" w:cs="Linux Biolinum"/>
      <w:color w:val="000000"/>
      <w:sz w:val="30"/>
      <w:szCs w:val="30"/>
    </w:rPr>
  </w:style>
  <w:style w:type="paragraph" w:styleId="Nadpis1">
    <w:name w:val="heading 1"/>
    <w:basedOn w:val="Normln"/>
    <w:link w:val="Nadpis1Char"/>
    <w:uiPriority w:val="9"/>
    <w:qFormat/>
    <w:rsid w:val="00BD3190"/>
    <w:pPr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D3190"/>
    <w:pPr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adpis1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color w:val="24356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D3190"/>
    <w:rPr>
      <w:rFonts w:ascii="Cambria" w:hAnsi="Cambria"/>
      <w:b/>
      <w:bCs/>
      <w:color w:val="000000"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BD319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D3190"/>
    <w:rPr>
      <w:rFonts w:ascii="Arial Black" w:hAnsi="Arial Black" w:cs="Arial Black"/>
      <w:color w:val="243564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customStyle="1" w:styleId="Zdraznn">
    <w:name w:val="Zdůraznění"/>
    <w:basedOn w:val="Standardnpsmoodstavce"/>
    <w:uiPriority w:val="20"/>
    <w:qFormat/>
    <w:rsid w:val="00BD3190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3220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Times New Roman" w:hAnsi="Times New Roman" w:cs="FreeSans"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ind w:firstLine="566"/>
      <w:jc w:val="both"/>
    </w:pPr>
    <w:rPr>
      <w:rFonts w:ascii="Linux Biolinum" w:hAnsi="Linux Biolinum" w:cs="Linux Biolinum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453220"/>
    <w:pPr>
      <w:widowControl/>
      <w:overflowPunct w:val="0"/>
      <w:spacing w:beforeAutospacing="1" w:afterAutospacing="1" w:line="240" w:lineRule="auto"/>
      <w:ind w:firstLine="0"/>
      <w:jc w:val="left"/>
    </w:pPr>
    <w:rPr>
      <w:rFonts w:ascii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1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1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spacing w:line="400" w:lineRule="exact"/>
      <w:ind w:firstLine="566"/>
      <w:jc w:val="both"/>
    </w:pPr>
    <w:rPr>
      <w:rFonts w:ascii="Linux Biolinum" w:hAnsi="Linux Biolinum" w:cs="Linux Biolinum"/>
      <w:color w:val="000000"/>
      <w:sz w:val="30"/>
      <w:szCs w:val="30"/>
    </w:rPr>
  </w:style>
  <w:style w:type="paragraph" w:styleId="Nadpis1">
    <w:name w:val="heading 1"/>
    <w:basedOn w:val="Normln"/>
    <w:link w:val="Nadpis1Char"/>
    <w:uiPriority w:val="9"/>
    <w:qFormat/>
    <w:rsid w:val="00BD3190"/>
    <w:pPr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D3190"/>
    <w:pPr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adpis1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color w:val="24356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D3190"/>
    <w:rPr>
      <w:rFonts w:ascii="Cambria" w:hAnsi="Cambria"/>
      <w:b/>
      <w:bCs/>
      <w:color w:val="000000"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BD319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D3190"/>
    <w:rPr>
      <w:rFonts w:ascii="Arial Black" w:hAnsi="Arial Black" w:cs="Arial Black"/>
      <w:color w:val="243564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customStyle="1" w:styleId="Zdraznn">
    <w:name w:val="Zdůraznění"/>
    <w:basedOn w:val="Standardnpsmoodstavce"/>
    <w:uiPriority w:val="20"/>
    <w:qFormat/>
    <w:rsid w:val="00BD3190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3220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Times New Roman" w:hAnsi="Times New Roman" w:cs="FreeSans"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ind w:firstLine="566"/>
      <w:jc w:val="both"/>
    </w:pPr>
    <w:rPr>
      <w:rFonts w:ascii="Linux Biolinum" w:hAnsi="Linux Biolinum" w:cs="Linux Biolinum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453220"/>
    <w:pPr>
      <w:widowControl/>
      <w:overflowPunct w:val="0"/>
      <w:spacing w:beforeAutospacing="1" w:afterAutospacing="1" w:line="240" w:lineRule="auto"/>
      <w:ind w:firstLine="0"/>
      <w:jc w:val="left"/>
    </w:pPr>
    <w:rPr>
      <w:rFonts w:ascii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1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yflokabinet.cz/clanky/tecko/orc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A9A5-4106-4B44-9664-5A579E6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1090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Informace a odpovědi na dotazy ze Sociálně právní poradny SONS v Praze 02/2019</vt:lpstr>
      <vt:lpstr>    Jak se vypočítává výše podpory v nezaměstnanosti a při rekvalifikaci?</vt:lpstr>
      <vt:lpstr>    V minulém článku jsme informovali o nárůstu minimální mzdy od počátku roku 2019,</vt:lpstr>
      <vt:lpstr>    Ze sdělení Ministerstva práce a sociálních věcí vydaného pod číslem 311/2018 Sb.</vt:lpstr>
      <vt:lpstr>    Výše podpory v nezaměstnanosti se vypočítává z průměrného měsíčního výdělku v po</vt:lpstr>
      <vt:lpstr>    Pokud však uchazeč o zaměstnání před zařazením do evidence bez vážného důvodu uk</vt:lpstr>
      <vt:lpstr>    Ovšem ne vždy je možné poslední průměrný měsíční výdělek stanovit, např. tehdy, </vt:lpstr>
      <vt:lpstr>    Ale průměrná mzda v národním hospodářství má význam i pro stanovení maxima vyplá</vt:lpstr>
      <vt:lpstr>    Nyní je již možné žádat o příspěvek na OrCam MyEye</vt:lpstr>
      <vt:lpstr>        Za nejpodstatnější závěr lze určitě označit tento:</vt:lpstr>
      <vt:lpstr>        Závěr</vt:lpstr>
    </vt:vector>
  </TitlesOfParts>
  <Company>Hewlett-Packard Company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Jasinský</dc:creator>
  <cp:lastModifiedBy>Petr Jasinský</cp:lastModifiedBy>
  <cp:revision>5</cp:revision>
  <dcterms:created xsi:type="dcterms:W3CDTF">2019-02-20T10:30:00Z</dcterms:created>
  <dcterms:modified xsi:type="dcterms:W3CDTF">2019-02-20T11:42:00Z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