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Default="00E06244">
      <w:pPr>
        <w:widowControl/>
        <w:overflowPunct w:val="0"/>
        <w:spacing w:beforeAutospacing="1" w:afterAutospacing="1" w:line="240" w:lineRule="auto"/>
        <w:ind w:firstLine="0"/>
        <w:jc w:val="center"/>
        <w:outlineLvl w:val="0"/>
      </w:pPr>
      <w:r>
        <w:rPr>
          <w:rFonts w:ascii="Times New Roman" w:hAnsi="Times New Roman" w:cs="Times New Roman"/>
          <w:b/>
          <w:bCs/>
          <w:color w:val="00000A"/>
          <w:sz w:val="48"/>
          <w:szCs w:val="48"/>
          <w:lang w:eastAsia="cs-CZ"/>
        </w:rPr>
        <w:t>Informace a odpovědi na dotazy ze Sociáln</w:t>
      </w:r>
      <w:r w:rsidR="004D1C77">
        <w:rPr>
          <w:rFonts w:ascii="Times New Roman" w:hAnsi="Times New Roman" w:cs="Times New Roman"/>
          <w:b/>
          <w:bCs/>
          <w:color w:val="00000A"/>
          <w:sz w:val="48"/>
          <w:szCs w:val="48"/>
          <w:lang w:eastAsia="cs-CZ"/>
        </w:rPr>
        <w:t xml:space="preserve">ě právní poradny SONS v Praze </w:t>
      </w:r>
      <w:r w:rsidR="005546C1">
        <w:rPr>
          <w:rFonts w:ascii="Times New Roman" w:hAnsi="Times New Roman" w:cs="Times New Roman"/>
          <w:b/>
          <w:bCs/>
          <w:color w:val="00000A"/>
          <w:sz w:val="48"/>
          <w:szCs w:val="48"/>
          <w:lang w:eastAsia="cs-CZ"/>
        </w:rPr>
        <w:t>01/2019</w:t>
      </w:r>
    </w:p>
    <w:p w:rsidR="004D1C77" w:rsidRDefault="005546C1" w:rsidP="00E0624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Rok 2019 zahájíme naši rubriku těmito informacemi:</w:t>
      </w:r>
      <w:r w:rsidR="004D1C77" w:rsidRPr="004D1C77">
        <w:rPr>
          <w:rFonts w:ascii="Times New Roman" w:hAnsi="Times New Roman" w:cs="Times New Roman"/>
          <w:color w:val="00000A"/>
          <w:sz w:val="24"/>
          <w:szCs w:val="24"/>
          <w:lang w:eastAsia="cs-CZ"/>
        </w:rPr>
        <w:t xml:space="preserve"> </w:t>
      </w:r>
    </w:p>
    <w:p w:rsidR="005546C1" w:rsidRPr="005546C1" w:rsidRDefault="007C6B50" w:rsidP="005546C1">
      <w:pPr>
        <w:widowControl/>
        <w:numPr>
          <w:ilvl w:val="0"/>
          <w:numId w:val="1"/>
        </w:numPr>
        <w:overflowPunct w:val="0"/>
        <w:spacing w:beforeAutospacing="1" w:afterAutospacing="1" w:line="240" w:lineRule="auto"/>
        <w:rPr>
          <w:sz w:val="24"/>
          <w:szCs w:val="24"/>
        </w:rPr>
      </w:pPr>
      <w:hyperlink w:anchor="Zvyseni_duchodu" w:history="1">
        <w:r w:rsidR="005546C1" w:rsidRPr="00F076C8">
          <w:rPr>
            <w:rStyle w:val="Hypertextovodkaz"/>
            <w:sz w:val="24"/>
            <w:szCs w:val="24"/>
          </w:rPr>
          <w:t>lednové zvýšení důchodů</w:t>
        </w:r>
      </w:hyperlink>
      <w:r w:rsidR="005546C1" w:rsidRPr="005546C1">
        <w:rPr>
          <w:sz w:val="24"/>
          <w:szCs w:val="24"/>
        </w:rPr>
        <w:t>,</w:t>
      </w:r>
    </w:p>
    <w:p w:rsidR="005546C1" w:rsidRDefault="007C6B50" w:rsidP="005546C1">
      <w:pPr>
        <w:widowControl/>
        <w:numPr>
          <w:ilvl w:val="0"/>
          <w:numId w:val="1"/>
        </w:numPr>
        <w:overflowPunct w:val="0"/>
        <w:spacing w:beforeAutospacing="1" w:afterAutospacing="1" w:line="240" w:lineRule="auto"/>
        <w:rPr>
          <w:sz w:val="24"/>
          <w:szCs w:val="24"/>
        </w:rPr>
      </w:pPr>
      <w:hyperlink w:anchor="Zvyseni_minimalni_mzdy" w:history="1">
        <w:r w:rsidR="005546C1" w:rsidRPr="00F076C8">
          <w:rPr>
            <w:rStyle w:val="Hypertextovodkaz"/>
            <w:sz w:val="24"/>
            <w:szCs w:val="24"/>
          </w:rPr>
          <w:t>zvýšení minimální mzdy</w:t>
        </w:r>
      </w:hyperlink>
      <w:r w:rsidR="00F076C8">
        <w:rPr>
          <w:sz w:val="24"/>
          <w:szCs w:val="24"/>
        </w:rPr>
        <w:t>,</w:t>
      </w:r>
    </w:p>
    <w:p w:rsidR="005546C1" w:rsidRDefault="007C6B50" w:rsidP="005546C1">
      <w:pPr>
        <w:widowControl/>
        <w:numPr>
          <w:ilvl w:val="0"/>
          <w:numId w:val="1"/>
        </w:numPr>
        <w:overflowPunct w:val="0"/>
        <w:spacing w:beforeAutospacing="1" w:afterAutospacing="1" w:line="240" w:lineRule="auto"/>
        <w:rPr>
          <w:sz w:val="24"/>
          <w:szCs w:val="24"/>
        </w:rPr>
      </w:pPr>
      <w:hyperlink w:anchor="Zvyseni_zivotniho_a_existencniho_minima" w:history="1">
        <w:r w:rsidR="005546C1" w:rsidRPr="00F076C8">
          <w:rPr>
            <w:rStyle w:val="Hypertextovodkaz"/>
            <w:sz w:val="24"/>
            <w:szCs w:val="24"/>
          </w:rPr>
          <w:t>pravděpodobné zvýšení částek životního a existenčního minima</w:t>
        </w:r>
      </w:hyperlink>
      <w:r w:rsidR="005546C1" w:rsidRPr="005546C1">
        <w:rPr>
          <w:sz w:val="24"/>
          <w:szCs w:val="24"/>
        </w:rPr>
        <w:t xml:space="preserve"> a</w:t>
      </w:r>
    </w:p>
    <w:p w:rsidR="005546C1" w:rsidRPr="005546C1" w:rsidRDefault="007C6B50" w:rsidP="005546C1">
      <w:pPr>
        <w:widowControl/>
        <w:numPr>
          <w:ilvl w:val="0"/>
          <w:numId w:val="1"/>
        </w:numPr>
        <w:overflowPunct w:val="0"/>
        <w:spacing w:beforeAutospacing="1" w:afterAutospacing="1" w:line="240" w:lineRule="auto"/>
        <w:rPr>
          <w:sz w:val="24"/>
          <w:szCs w:val="24"/>
        </w:rPr>
      </w:pPr>
      <w:hyperlink w:anchor="Marrakesska_smlouva_v_ceske_legislative" w:history="1">
        <w:r w:rsidR="005546C1" w:rsidRPr="00F076C8">
          <w:rPr>
            <w:rStyle w:val="Hypertextovodkaz"/>
            <w:sz w:val="24"/>
            <w:szCs w:val="24"/>
          </w:rPr>
          <w:t>implementace Marrákešské smlouvy o usnadnění přístupu k publikovaným dílům zrakově postiženým a osobám s jinými poruchami čtení</w:t>
        </w:r>
      </w:hyperlink>
      <w:r w:rsidR="00F076C8">
        <w:rPr>
          <w:sz w:val="24"/>
          <w:szCs w:val="24"/>
        </w:rPr>
        <w:t>.</w:t>
      </w:r>
    </w:p>
    <w:p w:rsidR="004D1C77" w:rsidRPr="004D1C77" w:rsidRDefault="005546C1">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0" w:name="Zvyseni_duchodu"/>
      <w:r w:rsidRPr="005546C1">
        <w:rPr>
          <w:rFonts w:ascii="Times New Roman" w:hAnsi="Times New Roman" w:cs="Times New Roman"/>
          <w:b/>
          <w:bCs/>
          <w:color w:val="00000A"/>
          <w:sz w:val="36"/>
          <w:szCs w:val="36"/>
          <w:lang w:eastAsia="cs-CZ"/>
        </w:rPr>
        <w:t>Rekapitulace zvýšení důchodů</w:t>
      </w:r>
    </w:p>
    <w:bookmarkEnd w:id="0"/>
    <w:p w:rsidR="005546C1" w:rsidRPr="005546C1" w:rsidRDefault="005546C1" w:rsidP="005546C1">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Je možné, že v době, kdy čtete tento článek, jste již obdrželi oznámení České správy sociálního zabezpečení o tom, že se Váš důchod od lednové splátky zvýší, ale je také možné, že na toto oznámení teprve čekáte. Ať tak či tak, mohlo by Vás zajímat, jak se zvýšen</w:t>
      </w:r>
      <w:r>
        <w:rPr>
          <w:rFonts w:ascii="Times New Roman" w:hAnsi="Times New Roman" w:cs="Times New Roman"/>
          <w:color w:val="00000A"/>
          <w:sz w:val="24"/>
          <w:szCs w:val="24"/>
          <w:lang w:eastAsia="cs-CZ"/>
        </w:rPr>
        <w:t>í důchodu od ledna 2019 počítá.</w:t>
      </w:r>
    </w:p>
    <w:p w:rsidR="005546C1" w:rsidRPr="005546C1" w:rsidRDefault="005546C1" w:rsidP="005546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Každý důchod se skládá ze dvou částí, základní a procentní výměry. Základní výměra je pevná část důchodu, všichni příjemci ji mají sho</w:t>
      </w:r>
      <w:r>
        <w:rPr>
          <w:rFonts w:ascii="Times New Roman" w:hAnsi="Times New Roman" w:cs="Times New Roman"/>
          <w:color w:val="00000A"/>
          <w:sz w:val="24"/>
          <w:szCs w:val="24"/>
          <w:lang w:eastAsia="cs-CZ"/>
        </w:rPr>
        <w:t>dnou. Zatímco dosud činila 2 700 </w:t>
      </w:r>
      <w:r w:rsidRPr="005546C1">
        <w:rPr>
          <w:rFonts w:ascii="Times New Roman" w:hAnsi="Times New Roman" w:cs="Times New Roman"/>
          <w:color w:val="00000A"/>
          <w:sz w:val="24"/>
          <w:szCs w:val="24"/>
          <w:lang w:eastAsia="cs-CZ"/>
        </w:rPr>
        <w:t>Kč</w:t>
      </w:r>
      <w:r>
        <w:rPr>
          <w:rFonts w:ascii="Times New Roman" w:hAnsi="Times New Roman" w:cs="Times New Roman"/>
          <w:color w:val="00000A"/>
          <w:sz w:val="24"/>
          <w:szCs w:val="24"/>
          <w:lang w:eastAsia="cs-CZ"/>
        </w:rPr>
        <w:t>, od 1. ledna 2019 bude činit 3 </w:t>
      </w:r>
      <w:r w:rsidRPr="005546C1">
        <w:rPr>
          <w:rFonts w:ascii="Times New Roman" w:hAnsi="Times New Roman" w:cs="Times New Roman"/>
          <w:color w:val="00000A"/>
          <w:sz w:val="24"/>
          <w:szCs w:val="24"/>
          <w:lang w:eastAsia="cs-CZ"/>
        </w:rPr>
        <w:t>270</w:t>
      </w:r>
      <w:r>
        <w:rPr>
          <w:rFonts w:ascii="Times New Roman" w:hAnsi="Times New Roman" w:cs="Times New Roman"/>
          <w:color w:val="00000A"/>
          <w:sz w:val="24"/>
          <w:szCs w:val="24"/>
          <w:lang w:eastAsia="cs-CZ"/>
        </w:rPr>
        <w:t> </w:t>
      </w:r>
      <w:r w:rsidRPr="005546C1">
        <w:rPr>
          <w:rFonts w:ascii="Times New Roman" w:hAnsi="Times New Roman" w:cs="Times New Roman"/>
          <w:color w:val="00000A"/>
          <w:sz w:val="24"/>
          <w:szCs w:val="24"/>
          <w:lang w:eastAsia="cs-CZ"/>
        </w:rPr>
        <w:t>Kč. Tak velký nárůst nastal nejen díky růstu průměrné mzdy, z</w:t>
      </w:r>
      <w:r w:rsidR="00CC21B3">
        <w:rPr>
          <w:rFonts w:ascii="Times New Roman" w:hAnsi="Times New Roman" w:cs="Times New Roman"/>
          <w:color w:val="00000A"/>
          <w:sz w:val="24"/>
          <w:szCs w:val="24"/>
          <w:lang w:eastAsia="cs-CZ"/>
        </w:rPr>
        <w:t> </w:t>
      </w:r>
      <w:r w:rsidRPr="005546C1">
        <w:rPr>
          <w:rFonts w:ascii="Times New Roman" w:hAnsi="Times New Roman" w:cs="Times New Roman"/>
          <w:color w:val="00000A"/>
          <w:sz w:val="24"/>
          <w:szCs w:val="24"/>
          <w:lang w:eastAsia="cs-CZ"/>
        </w:rPr>
        <w:t xml:space="preserve"> níž se základní výměra vypočítává, ale také proto, že v zákoně o důchodovém pojištění bylo stanoveno, že z původních 9</w:t>
      </w:r>
      <w:r>
        <w:rPr>
          <w:rFonts w:ascii="Times New Roman" w:hAnsi="Times New Roman" w:cs="Times New Roman"/>
          <w:color w:val="00000A"/>
          <w:sz w:val="24"/>
          <w:szCs w:val="24"/>
          <w:lang w:eastAsia="cs-CZ"/>
        </w:rPr>
        <w:t> %</w:t>
      </w:r>
      <w:r w:rsidRPr="005546C1">
        <w:rPr>
          <w:rFonts w:ascii="Times New Roman" w:hAnsi="Times New Roman" w:cs="Times New Roman"/>
          <w:color w:val="00000A"/>
          <w:sz w:val="24"/>
          <w:szCs w:val="24"/>
          <w:lang w:eastAsia="cs-CZ"/>
        </w:rPr>
        <w:t xml:space="preserve"> bude její výše či</w:t>
      </w:r>
      <w:r>
        <w:rPr>
          <w:rFonts w:ascii="Times New Roman" w:hAnsi="Times New Roman" w:cs="Times New Roman"/>
          <w:color w:val="00000A"/>
          <w:sz w:val="24"/>
          <w:szCs w:val="24"/>
          <w:lang w:eastAsia="cs-CZ"/>
        </w:rPr>
        <w:t>nit 10 % průměrné měsíční mzdy.</w:t>
      </w:r>
    </w:p>
    <w:p w:rsidR="005546C1" w:rsidRPr="005546C1" w:rsidRDefault="005546C1" w:rsidP="005546C1">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Procentní výměra je pak částka vypočítávaná z výpočtového základu žadatele o invalidní či starobní důchod, eventuálně z výpočtového základu zemřelé osoby (v případě sirotčích, vdov</w:t>
      </w:r>
      <w:r>
        <w:rPr>
          <w:rFonts w:ascii="Times New Roman" w:hAnsi="Times New Roman" w:cs="Times New Roman"/>
          <w:color w:val="00000A"/>
          <w:sz w:val="24"/>
          <w:szCs w:val="24"/>
          <w:lang w:eastAsia="cs-CZ"/>
        </w:rPr>
        <w:t>ských nebo vdoveckých důchodů).</w:t>
      </w:r>
    </w:p>
    <w:p w:rsidR="005546C1" w:rsidRPr="005546C1" w:rsidRDefault="005546C1" w:rsidP="005546C1">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I u procentní výměry</w:t>
      </w:r>
      <w:r>
        <w:rPr>
          <w:rFonts w:ascii="Times New Roman" w:hAnsi="Times New Roman" w:cs="Times New Roman"/>
          <w:color w:val="00000A"/>
          <w:sz w:val="24"/>
          <w:szCs w:val="24"/>
          <w:lang w:eastAsia="cs-CZ"/>
        </w:rPr>
        <w:t xml:space="preserve"> dojde k nárůstu, a to o 3,4 %.</w:t>
      </w:r>
    </w:p>
    <w:p w:rsidR="005546C1" w:rsidRPr="005546C1" w:rsidRDefault="005546C1" w:rsidP="005546C1">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Uveďme tedy jeden praktický příklad pro ilustraci, o kolik se důchod zvýší. Jestliže důchod pana X</w:t>
      </w:r>
      <w:r w:rsidR="00CC21B3">
        <w:rPr>
          <w:rFonts w:ascii="Times New Roman" w:hAnsi="Times New Roman" w:cs="Times New Roman"/>
          <w:color w:val="00000A"/>
          <w:sz w:val="24"/>
          <w:szCs w:val="24"/>
          <w:lang w:eastAsia="cs-CZ"/>
        </w:rPr>
        <w:t xml:space="preserve"> </w:t>
      </w:r>
      <w:r w:rsidRPr="005546C1">
        <w:rPr>
          <w:rFonts w:ascii="Times New Roman" w:hAnsi="Times New Roman" w:cs="Times New Roman"/>
          <w:color w:val="00000A"/>
          <w:sz w:val="24"/>
          <w:szCs w:val="24"/>
          <w:lang w:eastAsia="cs-CZ"/>
        </w:rPr>
        <w:t>či</w:t>
      </w:r>
      <w:r>
        <w:rPr>
          <w:rFonts w:ascii="Times New Roman" w:hAnsi="Times New Roman" w:cs="Times New Roman"/>
          <w:color w:val="00000A"/>
          <w:sz w:val="24"/>
          <w:szCs w:val="24"/>
          <w:lang w:eastAsia="cs-CZ"/>
        </w:rPr>
        <w:t>nil v prosincové splátce 10 000 </w:t>
      </w:r>
      <w:r w:rsidRPr="005546C1">
        <w:rPr>
          <w:rFonts w:ascii="Times New Roman" w:hAnsi="Times New Roman" w:cs="Times New Roman"/>
          <w:color w:val="00000A"/>
          <w:sz w:val="24"/>
          <w:szCs w:val="24"/>
          <w:lang w:eastAsia="cs-CZ"/>
        </w:rPr>
        <w:t xml:space="preserve">Kč, pak pan </w:t>
      </w:r>
      <w:r>
        <w:rPr>
          <w:rFonts w:ascii="Times New Roman" w:hAnsi="Times New Roman" w:cs="Times New Roman"/>
          <w:color w:val="00000A"/>
          <w:sz w:val="24"/>
          <w:szCs w:val="24"/>
          <w:lang w:eastAsia="cs-CZ"/>
        </w:rPr>
        <w:t>X pobíral základní výměru 2 700 Kč a</w:t>
      </w:r>
      <w:r w:rsidR="00CC21B3">
        <w:rPr>
          <w:rFonts w:ascii="Times New Roman" w:hAnsi="Times New Roman" w:cs="Times New Roman"/>
          <w:color w:val="00000A"/>
          <w:sz w:val="24"/>
          <w:szCs w:val="24"/>
          <w:lang w:eastAsia="cs-CZ"/>
        </w:rPr>
        <w:t> </w:t>
      </w:r>
      <w:r>
        <w:rPr>
          <w:rFonts w:ascii="Times New Roman" w:hAnsi="Times New Roman" w:cs="Times New Roman"/>
          <w:color w:val="00000A"/>
          <w:sz w:val="24"/>
          <w:szCs w:val="24"/>
          <w:lang w:eastAsia="cs-CZ"/>
        </w:rPr>
        <w:t>procentní výměru 7 300 Kč.</w:t>
      </w:r>
    </w:p>
    <w:p w:rsidR="005546C1" w:rsidRPr="005546C1" w:rsidRDefault="005546C1" w:rsidP="005546C1">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Zá</w:t>
      </w:r>
      <w:r>
        <w:rPr>
          <w:rFonts w:ascii="Times New Roman" w:hAnsi="Times New Roman" w:cs="Times New Roman"/>
          <w:color w:val="00000A"/>
          <w:sz w:val="24"/>
          <w:szCs w:val="24"/>
          <w:lang w:eastAsia="cs-CZ"/>
        </w:rPr>
        <w:t>kladní výměra se zvýší na 3 270 </w:t>
      </w:r>
      <w:r w:rsidRPr="005546C1">
        <w:rPr>
          <w:rFonts w:ascii="Times New Roman" w:hAnsi="Times New Roman" w:cs="Times New Roman"/>
          <w:color w:val="00000A"/>
          <w:sz w:val="24"/>
          <w:szCs w:val="24"/>
          <w:lang w:eastAsia="cs-CZ"/>
        </w:rPr>
        <w:t>Kč a procent</w:t>
      </w:r>
      <w:r>
        <w:rPr>
          <w:rFonts w:ascii="Times New Roman" w:hAnsi="Times New Roman" w:cs="Times New Roman"/>
          <w:color w:val="00000A"/>
          <w:sz w:val="24"/>
          <w:szCs w:val="24"/>
          <w:lang w:eastAsia="cs-CZ"/>
        </w:rPr>
        <w:t>ní na 7 548 </w:t>
      </w:r>
      <w:r w:rsidRPr="005546C1">
        <w:rPr>
          <w:rFonts w:ascii="Times New Roman" w:hAnsi="Times New Roman" w:cs="Times New Roman"/>
          <w:color w:val="00000A"/>
          <w:sz w:val="24"/>
          <w:szCs w:val="24"/>
          <w:lang w:eastAsia="cs-CZ"/>
        </w:rPr>
        <w:t>Kč. Pan X tedy bude od ledna pobírat důchod 10</w:t>
      </w:r>
      <w:r>
        <w:rPr>
          <w:rFonts w:ascii="Times New Roman" w:hAnsi="Times New Roman" w:cs="Times New Roman"/>
          <w:color w:val="00000A"/>
          <w:sz w:val="24"/>
          <w:szCs w:val="24"/>
          <w:lang w:eastAsia="cs-CZ"/>
        </w:rPr>
        <w:t> </w:t>
      </w:r>
      <w:r w:rsidRPr="005546C1">
        <w:rPr>
          <w:rFonts w:ascii="Times New Roman" w:hAnsi="Times New Roman" w:cs="Times New Roman"/>
          <w:color w:val="00000A"/>
          <w:sz w:val="24"/>
          <w:szCs w:val="24"/>
          <w:lang w:eastAsia="cs-CZ"/>
        </w:rPr>
        <w:t>818</w:t>
      </w:r>
      <w:r>
        <w:rPr>
          <w:rFonts w:ascii="Times New Roman" w:hAnsi="Times New Roman" w:cs="Times New Roman"/>
          <w:color w:val="00000A"/>
          <w:sz w:val="24"/>
          <w:szCs w:val="24"/>
          <w:lang w:eastAsia="cs-CZ"/>
        </w:rPr>
        <w:t> Kč, tedy téměř o 820 Kč vyšší.</w:t>
      </w:r>
    </w:p>
    <w:p w:rsidR="00E557E9" w:rsidRDefault="005546C1" w:rsidP="005546C1">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5546C1">
        <w:rPr>
          <w:rFonts w:ascii="Times New Roman" w:hAnsi="Times New Roman" w:cs="Times New Roman"/>
          <w:color w:val="00000A"/>
          <w:sz w:val="24"/>
          <w:szCs w:val="24"/>
          <w:lang w:eastAsia="cs-CZ"/>
        </w:rPr>
        <w:t>Navíc těm, kdo dosáhnou věku 85 let, se procentní výměra důchodu navýší ještě o další tisícikorunu, a to od splátky náležející v měsíci, kdy tohoto věku dosáhli. U těch, kteří věku 85 let dosáhli před prvním lednem 2019, se důchod zvýší právě od lednové splátky.</w:t>
      </w:r>
    </w:p>
    <w:p w:rsidR="004D1C77" w:rsidRPr="004D1C77" w:rsidRDefault="00CC21B3">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1" w:name="__DdeLink__254_46380079"/>
      <w:bookmarkStart w:id="2" w:name="Zvyseni_minimalni_mzdy"/>
      <w:bookmarkEnd w:id="1"/>
      <w:r w:rsidRPr="00CC21B3">
        <w:rPr>
          <w:rFonts w:ascii="Times New Roman" w:hAnsi="Times New Roman" w:cs="Times New Roman"/>
          <w:b/>
          <w:bCs/>
          <w:color w:val="00000A"/>
          <w:sz w:val="36"/>
          <w:szCs w:val="36"/>
          <w:lang w:eastAsia="cs-CZ"/>
        </w:rPr>
        <w:t>Zvýšení minimální mzdy</w:t>
      </w:r>
    </w:p>
    <w:bookmarkEnd w:id="2"/>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Výši minimální mzdy i zaručené mzdy najdeme v nařízení vlády č. 567/2006, které bylo koncem roku 2018 také novelizováno. Sazba minimální mz</w:t>
      </w:r>
      <w:r>
        <w:rPr>
          <w:rFonts w:ascii="Times New Roman" w:hAnsi="Times New Roman" w:cs="Times New Roman"/>
          <w:color w:val="00000A"/>
          <w:sz w:val="24"/>
          <w:szCs w:val="24"/>
          <w:lang w:eastAsia="cs-CZ"/>
        </w:rPr>
        <w:t>dy od 1. ledna 2019 činí 13 350 </w:t>
      </w:r>
      <w:r w:rsidRPr="00CC21B3">
        <w:rPr>
          <w:rFonts w:ascii="Times New Roman" w:hAnsi="Times New Roman" w:cs="Times New Roman"/>
          <w:color w:val="00000A"/>
          <w:sz w:val="24"/>
          <w:szCs w:val="24"/>
          <w:lang w:eastAsia="cs-CZ"/>
        </w:rPr>
        <w:t>K</w:t>
      </w:r>
      <w:r>
        <w:rPr>
          <w:rFonts w:ascii="Times New Roman" w:hAnsi="Times New Roman" w:cs="Times New Roman"/>
          <w:color w:val="00000A"/>
          <w:sz w:val="24"/>
          <w:szCs w:val="24"/>
          <w:lang w:eastAsia="cs-CZ"/>
        </w:rPr>
        <w:t>č, došlo tedy k nárůstu o 1 150 </w:t>
      </w:r>
      <w:r w:rsidRPr="00CC21B3">
        <w:rPr>
          <w:rFonts w:ascii="Times New Roman" w:hAnsi="Times New Roman" w:cs="Times New Roman"/>
          <w:color w:val="00000A"/>
          <w:sz w:val="24"/>
          <w:szCs w:val="24"/>
          <w:lang w:eastAsia="cs-CZ"/>
        </w:rPr>
        <w:t>Kč, téměř 9,5 procentního bodu. Pro úplnost dodejme i hodnoty minimální mzdy pro hodi</w:t>
      </w:r>
      <w:r>
        <w:rPr>
          <w:rFonts w:ascii="Times New Roman" w:hAnsi="Times New Roman" w:cs="Times New Roman"/>
          <w:color w:val="00000A"/>
          <w:sz w:val="24"/>
          <w:szCs w:val="24"/>
          <w:lang w:eastAsia="cs-CZ"/>
        </w:rPr>
        <w:t>novou práci, nově půjde o 79,80 </w:t>
      </w:r>
      <w:r w:rsidRPr="00CC21B3">
        <w:rPr>
          <w:rFonts w:ascii="Times New Roman" w:hAnsi="Times New Roman" w:cs="Times New Roman"/>
          <w:color w:val="00000A"/>
          <w:sz w:val="24"/>
          <w:szCs w:val="24"/>
          <w:lang w:eastAsia="cs-CZ"/>
        </w:rPr>
        <w:t xml:space="preserve">Kč za hodinu, zatímco </w:t>
      </w:r>
      <w:r w:rsidRPr="00CC21B3">
        <w:rPr>
          <w:rFonts w:ascii="Times New Roman" w:hAnsi="Times New Roman" w:cs="Times New Roman"/>
          <w:color w:val="00000A"/>
          <w:sz w:val="24"/>
          <w:szCs w:val="24"/>
          <w:lang w:eastAsia="cs-CZ"/>
        </w:rPr>
        <w:lastRenderedPageBreak/>
        <w:t>dosud si musel zaměstnanec za hodinu práce při</w:t>
      </w:r>
      <w:r>
        <w:rPr>
          <w:rFonts w:ascii="Times New Roman" w:hAnsi="Times New Roman" w:cs="Times New Roman"/>
          <w:color w:val="00000A"/>
          <w:sz w:val="24"/>
          <w:szCs w:val="24"/>
          <w:lang w:eastAsia="cs-CZ"/>
        </w:rPr>
        <w:t>jít nejméně na 73,20 </w:t>
      </w:r>
      <w:r w:rsidRPr="00CC21B3">
        <w:rPr>
          <w:rFonts w:ascii="Times New Roman" w:hAnsi="Times New Roman" w:cs="Times New Roman"/>
          <w:color w:val="00000A"/>
          <w:sz w:val="24"/>
          <w:szCs w:val="24"/>
          <w:lang w:eastAsia="cs-CZ"/>
        </w:rPr>
        <w:t>Kč. Adekvátně s tímto zvýšením minimální mzdy rostou i sazby zaručené mzdy pro jednotlivé skupiny prací uvedených v tomto nařízení.</w:t>
      </w:r>
    </w:p>
    <w:p w:rsid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Zvýšení minimální mzdy bude mít samozřejmě dopad i na výpočet některých dalších ukazatelů, např. se tak zvýší částka, kterou si může osoba vydělat, a přitom být zařazena a</w:t>
      </w:r>
      <w:r>
        <w:rPr>
          <w:rFonts w:ascii="Times New Roman" w:hAnsi="Times New Roman" w:cs="Times New Roman"/>
          <w:color w:val="00000A"/>
          <w:sz w:val="24"/>
          <w:szCs w:val="24"/>
          <w:lang w:eastAsia="cs-CZ"/>
        </w:rPr>
        <w:t> </w:t>
      </w:r>
      <w:r w:rsidRPr="00CC21B3">
        <w:rPr>
          <w:rFonts w:ascii="Times New Roman" w:hAnsi="Times New Roman" w:cs="Times New Roman"/>
          <w:color w:val="00000A"/>
          <w:sz w:val="24"/>
          <w:szCs w:val="24"/>
          <w:lang w:eastAsia="cs-CZ"/>
        </w:rPr>
        <w:t>vedena v evidenci Úřadu práce jako uchazeč o zaměstnání. Tato částka se totiž odvozuje od poloviny minimálním mzdy, tudíž</w:t>
      </w:r>
      <w:r>
        <w:rPr>
          <w:rFonts w:ascii="Times New Roman" w:hAnsi="Times New Roman" w:cs="Times New Roman"/>
          <w:color w:val="00000A"/>
          <w:sz w:val="24"/>
          <w:szCs w:val="24"/>
          <w:lang w:eastAsia="cs-CZ"/>
        </w:rPr>
        <w:t xml:space="preserve"> bude od ledna 2019 činit 6 675 </w:t>
      </w:r>
      <w:r w:rsidRPr="00CC21B3">
        <w:rPr>
          <w:rFonts w:ascii="Times New Roman" w:hAnsi="Times New Roman" w:cs="Times New Roman"/>
          <w:color w:val="00000A"/>
          <w:sz w:val="24"/>
          <w:szCs w:val="24"/>
          <w:lang w:eastAsia="cs-CZ"/>
        </w:rPr>
        <w:t>Kč.</w:t>
      </w:r>
    </w:p>
    <w:p w:rsidR="00CC21B3" w:rsidRPr="004D1C77" w:rsidRDefault="00CC21B3" w:rsidP="00CC21B3">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3" w:name="Zvyseni_zivotniho_a_existencniho_minima"/>
      <w:r w:rsidRPr="00CC21B3">
        <w:rPr>
          <w:rFonts w:ascii="Times New Roman" w:hAnsi="Times New Roman" w:cs="Times New Roman"/>
          <w:b/>
          <w:bCs/>
          <w:color w:val="00000A"/>
          <w:sz w:val="36"/>
          <w:szCs w:val="36"/>
          <w:lang w:eastAsia="cs-CZ"/>
        </w:rPr>
        <w:t>Zvýšení částek životního a existenčního minima</w:t>
      </w:r>
    </w:p>
    <w:bookmarkEnd w:id="3"/>
    <w:p w:rsidR="00CC21B3" w:rsidRDefault="00CC21B3" w:rsidP="004D1C77">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Ministerstvo práce a sociálních věcí navrhlo vládě i zvýšení částek životního minima, nicméně do uzávěrky časopisu není jisté, zda tento návrh vláda schválí. Pokud ano, pak by se měly změnit i tyto v zásadě parametrické částky, od nichž se pak vypočítávají mnohé další dávky či posuzují nároky na ně. K poslednímu zvýšení těchto částek došlo s účinností k</w:t>
      </w:r>
      <w:r>
        <w:rPr>
          <w:rFonts w:ascii="Times New Roman" w:hAnsi="Times New Roman" w:cs="Times New Roman"/>
          <w:color w:val="00000A"/>
          <w:sz w:val="24"/>
          <w:szCs w:val="24"/>
          <w:lang w:eastAsia="cs-CZ"/>
        </w:rPr>
        <w:t> </w:t>
      </w:r>
      <w:r w:rsidRPr="00CC21B3">
        <w:rPr>
          <w:rFonts w:ascii="Times New Roman" w:hAnsi="Times New Roman" w:cs="Times New Roman"/>
          <w:color w:val="00000A"/>
          <w:sz w:val="24"/>
          <w:szCs w:val="24"/>
          <w:lang w:eastAsia="cs-CZ"/>
        </w:rPr>
        <w:t>1.</w:t>
      </w:r>
      <w:r>
        <w:rPr>
          <w:rFonts w:ascii="Times New Roman" w:hAnsi="Times New Roman" w:cs="Times New Roman"/>
          <w:color w:val="00000A"/>
          <w:sz w:val="24"/>
          <w:szCs w:val="24"/>
          <w:lang w:eastAsia="cs-CZ"/>
        </w:rPr>
        <w:t> </w:t>
      </w:r>
      <w:r w:rsidRPr="00CC21B3">
        <w:rPr>
          <w:rFonts w:ascii="Times New Roman" w:hAnsi="Times New Roman" w:cs="Times New Roman"/>
          <w:color w:val="00000A"/>
          <w:sz w:val="24"/>
          <w:szCs w:val="24"/>
          <w:lang w:eastAsia="cs-CZ"/>
        </w:rPr>
        <w:t>lednu 2012, nárůst od ledna 2019 by měl činit cca 11 %. Částka životního minima jednotliv</w:t>
      </w:r>
      <w:r>
        <w:rPr>
          <w:rFonts w:ascii="Times New Roman" w:hAnsi="Times New Roman" w:cs="Times New Roman"/>
          <w:color w:val="00000A"/>
          <w:sz w:val="24"/>
          <w:szCs w:val="24"/>
          <w:lang w:eastAsia="cs-CZ"/>
        </w:rPr>
        <w:t>ce by tak měla z nynějších 3 410 </w:t>
      </w:r>
      <w:r w:rsidRPr="00CC21B3">
        <w:rPr>
          <w:rFonts w:ascii="Times New Roman" w:hAnsi="Times New Roman" w:cs="Times New Roman"/>
          <w:color w:val="00000A"/>
          <w:sz w:val="24"/>
          <w:szCs w:val="24"/>
          <w:lang w:eastAsia="cs-CZ"/>
        </w:rPr>
        <w:t xml:space="preserve">Kč stoupnout na </w:t>
      </w:r>
      <w:r>
        <w:rPr>
          <w:rFonts w:ascii="Times New Roman" w:hAnsi="Times New Roman" w:cs="Times New Roman"/>
          <w:color w:val="00000A"/>
          <w:sz w:val="24"/>
          <w:szCs w:val="24"/>
          <w:lang w:eastAsia="cs-CZ"/>
        </w:rPr>
        <w:t>3 790 </w:t>
      </w:r>
      <w:r w:rsidRPr="00CC21B3">
        <w:rPr>
          <w:rFonts w:ascii="Times New Roman" w:hAnsi="Times New Roman" w:cs="Times New Roman"/>
          <w:color w:val="00000A"/>
          <w:sz w:val="24"/>
          <w:szCs w:val="24"/>
          <w:lang w:eastAsia="cs-CZ"/>
        </w:rPr>
        <w:t>Kč a ex</w:t>
      </w:r>
      <w:r>
        <w:rPr>
          <w:rFonts w:ascii="Times New Roman" w:hAnsi="Times New Roman" w:cs="Times New Roman"/>
          <w:color w:val="00000A"/>
          <w:sz w:val="24"/>
          <w:szCs w:val="24"/>
          <w:lang w:eastAsia="cs-CZ"/>
        </w:rPr>
        <w:t>istenční minimum z</w:t>
      </w:r>
      <w:r w:rsidR="00E3673B">
        <w:rPr>
          <w:rFonts w:ascii="Times New Roman" w:hAnsi="Times New Roman" w:cs="Times New Roman"/>
          <w:color w:val="00000A"/>
          <w:sz w:val="24"/>
          <w:szCs w:val="24"/>
          <w:lang w:eastAsia="cs-CZ"/>
        </w:rPr>
        <w:t> </w:t>
      </w:r>
      <w:r>
        <w:rPr>
          <w:rFonts w:ascii="Times New Roman" w:hAnsi="Times New Roman" w:cs="Times New Roman"/>
          <w:color w:val="00000A"/>
          <w:sz w:val="24"/>
          <w:szCs w:val="24"/>
          <w:lang w:eastAsia="cs-CZ"/>
        </w:rPr>
        <w:t>částky 2 200 Kč na 2 440 </w:t>
      </w:r>
      <w:r w:rsidRPr="00CC21B3">
        <w:rPr>
          <w:rFonts w:ascii="Times New Roman" w:hAnsi="Times New Roman" w:cs="Times New Roman"/>
          <w:color w:val="00000A"/>
          <w:sz w:val="24"/>
          <w:szCs w:val="24"/>
          <w:lang w:eastAsia="cs-CZ"/>
        </w:rPr>
        <w:t>korun. Stejně jako u minimální mzdy je dopad nárůstu částek životního a existenčního minima podstatný pro mnohé jiné dávky, pro příklad zde uveďme například hodnotu osminásobku životního minima jednotlivce, která je rozhodná pro nárok na příspěve</w:t>
      </w:r>
      <w:r>
        <w:rPr>
          <w:rFonts w:ascii="Times New Roman" w:hAnsi="Times New Roman" w:cs="Times New Roman"/>
          <w:color w:val="00000A"/>
          <w:sz w:val="24"/>
          <w:szCs w:val="24"/>
          <w:lang w:eastAsia="cs-CZ"/>
        </w:rPr>
        <w:t>k na pomůcku s cenou pod 10 000 </w:t>
      </w:r>
      <w:r w:rsidRPr="00CC21B3">
        <w:rPr>
          <w:rFonts w:ascii="Times New Roman" w:hAnsi="Times New Roman" w:cs="Times New Roman"/>
          <w:color w:val="00000A"/>
          <w:sz w:val="24"/>
          <w:szCs w:val="24"/>
          <w:lang w:eastAsia="cs-CZ"/>
        </w:rPr>
        <w:t>Kč, samostatně bydlící jednotlivec by tedy na příspěvek na takovouto pomůcku nárok neměl, pokud by jeh</w:t>
      </w:r>
      <w:r>
        <w:rPr>
          <w:rFonts w:ascii="Times New Roman" w:hAnsi="Times New Roman" w:cs="Times New Roman"/>
          <w:color w:val="00000A"/>
          <w:sz w:val="24"/>
          <w:szCs w:val="24"/>
          <w:lang w:eastAsia="cs-CZ"/>
        </w:rPr>
        <w:t>o příjmy přesáhly částku 30 320 </w:t>
      </w:r>
      <w:r w:rsidRPr="00CC21B3">
        <w:rPr>
          <w:rFonts w:ascii="Times New Roman" w:hAnsi="Times New Roman" w:cs="Times New Roman"/>
          <w:color w:val="00000A"/>
          <w:sz w:val="24"/>
          <w:szCs w:val="24"/>
          <w:lang w:eastAsia="cs-CZ"/>
        </w:rPr>
        <w:t>Kč za měsíc.</w:t>
      </w:r>
    </w:p>
    <w:p w:rsidR="00CC21B3" w:rsidRPr="004D1C77" w:rsidRDefault="00CC21B3" w:rsidP="00CC21B3">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4" w:name="Marrakesska_smlouva_v_ceske_legislative"/>
      <w:r w:rsidRPr="00CC21B3">
        <w:rPr>
          <w:rFonts w:ascii="Times New Roman" w:hAnsi="Times New Roman" w:cs="Times New Roman"/>
          <w:b/>
          <w:bCs/>
          <w:color w:val="00000A"/>
          <w:sz w:val="36"/>
          <w:szCs w:val="36"/>
          <w:lang w:eastAsia="cs-CZ"/>
        </w:rPr>
        <w:t>Marrákešská smlouva v české legislativě</w:t>
      </w:r>
    </w:p>
    <w:bookmarkEnd w:id="4"/>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 xml:space="preserve">Většina čtenářů již patrně tuší, že tzv. Marrákešskou smlouvou máme na mysli smlouvu zabývající se výjimkami z autorského práva při přeshraniční výměně autorských děl upravených pro osoby se zrakovým postižením a osoby s jinými poruchami čtení. Než si popíšeme, jak byla její ustanovení včleněna do českého autorského zákona (z. </w:t>
      </w:r>
      <w:proofErr w:type="gramStart"/>
      <w:r w:rsidRPr="00CC21B3">
        <w:rPr>
          <w:rFonts w:ascii="Times New Roman" w:hAnsi="Times New Roman" w:cs="Times New Roman"/>
          <w:color w:val="00000A"/>
          <w:sz w:val="24"/>
          <w:szCs w:val="24"/>
          <w:lang w:eastAsia="cs-CZ"/>
        </w:rPr>
        <w:t>č.</w:t>
      </w:r>
      <w:proofErr w:type="gramEnd"/>
      <w:r w:rsidRPr="00CC21B3">
        <w:rPr>
          <w:rFonts w:ascii="Times New Roman" w:hAnsi="Times New Roman" w:cs="Times New Roman"/>
          <w:color w:val="00000A"/>
          <w:sz w:val="24"/>
          <w:szCs w:val="24"/>
          <w:lang w:eastAsia="cs-CZ"/>
        </w:rPr>
        <w:t xml:space="preserve"> 121/2000 Sb., ve znění pozdějších předpisů), dovolíme si uvést několik údajů o smlouvě samé.</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 xml:space="preserve">Název smlouvy zní: </w:t>
      </w:r>
      <w:r w:rsidRPr="00B21355">
        <w:rPr>
          <w:rFonts w:ascii="Times New Roman" w:hAnsi="Times New Roman" w:cs="Times New Roman"/>
          <w:i/>
          <w:color w:val="00000A"/>
          <w:sz w:val="24"/>
          <w:szCs w:val="24"/>
          <w:lang w:eastAsia="cs-CZ"/>
        </w:rPr>
        <w:t>„Marrákešská smlouva o usnadnění přístupu k publikovaným dílům nevidomým a zrakově postiženým osobám či osobám s jinými poruchami čtení“</w:t>
      </w:r>
      <w:r w:rsidRPr="00CC21B3">
        <w:rPr>
          <w:rFonts w:ascii="Times New Roman" w:hAnsi="Times New Roman" w:cs="Times New Roman"/>
          <w:color w:val="00000A"/>
          <w:sz w:val="24"/>
          <w:szCs w:val="24"/>
          <w:lang w:eastAsia="cs-CZ"/>
        </w:rPr>
        <w:t>. Dokument byl přijat v marockém Marrákeši 27. června 2013, v platnost smlouva vstoupila 30. září 2016. Smlouva byla Evropskou unií ratifikována 1. října 2018, již předtím však byly vydány evropská směrnice a nařízení, upravující povinnost i způsob implementace ustanovení smlouvy do legislativ členských států EU.</w:t>
      </w:r>
    </w:p>
    <w:p w:rsidR="00CC21B3" w:rsidRPr="00CC21B3" w:rsidRDefault="00CC21B3" w:rsidP="00CC21B3">
      <w:pPr>
        <w:widowControl/>
        <w:spacing w:before="100" w:beforeAutospacing="1" w:after="100" w:afterAutospacing="1" w:line="240" w:lineRule="auto"/>
        <w:ind w:firstLine="0"/>
        <w:outlineLvl w:val="2"/>
      </w:pPr>
      <w:r w:rsidRPr="00CC21B3">
        <w:rPr>
          <w:rFonts w:ascii="Times New Roman" w:hAnsi="Times New Roman" w:cs="Times New Roman"/>
          <w:b/>
          <w:bCs/>
          <w:color w:val="00000A"/>
          <w:sz w:val="27"/>
          <w:szCs w:val="27"/>
          <w:lang w:eastAsia="cs-CZ"/>
        </w:rPr>
        <w:t>Implementace do české legislativy</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Zde musíme velmi ocenit, že Ministerstvo kultury od počátku jednání o samotné Marrákešské smlouvě, ale i při navrhování naší vnitrostátní implementace vše podstatné konzultovalo s</w:t>
      </w:r>
      <w:r w:rsidR="00E3673B">
        <w:rPr>
          <w:rFonts w:ascii="Times New Roman" w:hAnsi="Times New Roman" w:cs="Times New Roman"/>
          <w:color w:val="00000A"/>
          <w:sz w:val="24"/>
          <w:szCs w:val="24"/>
          <w:lang w:eastAsia="cs-CZ"/>
        </w:rPr>
        <w:t> </w:t>
      </w:r>
      <w:r w:rsidRPr="00CC21B3">
        <w:rPr>
          <w:rFonts w:ascii="Times New Roman" w:hAnsi="Times New Roman" w:cs="Times New Roman"/>
          <w:color w:val="00000A"/>
          <w:sz w:val="24"/>
          <w:szCs w:val="24"/>
          <w:lang w:eastAsia="cs-CZ"/>
        </w:rPr>
        <w:t xml:space="preserve">osobami a organizacemi, kterých se ustanovení smlouvy týkají, mezi ostatními tedy i se SONS. Finální návrh byl SONS plně podpořen, ostatně jsme se účastnili (byť jen v roli veřejnosti) projednávání návrhu v příslušném výboru Poslanecké sněmovny. Od Ministerstva kultury průběžně dostáváme informace o </w:t>
      </w:r>
      <w:r w:rsidR="00E3673B">
        <w:rPr>
          <w:rFonts w:ascii="Times New Roman" w:hAnsi="Times New Roman" w:cs="Times New Roman"/>
          <w:color w:val="00000A"/>
          <w:sz w:val="24"/>
          <w:szCs w:val="24"/>
          <w:lang w:eastAsia="cs-CZ"/>
        </w:rPr>
        <w:t>postupu legislativního procesu.</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Návrh novely autorského zákona je v době uzávěrky tohoto článku v Senátu Parlamentu České republiky, schválen již byl Poslaneckou sněmovnou. Věříme, že v Senátu nenarazí na významné obtíže, stejně jako snad ani podpis prezidenta republiky Miloše Zemana nebude zásadní překážkou, tudíž novela by mohla nabýt platnosti a účinnosti v průběhu ledna 2019.</w:t>
      </w:r>
    </w:p>
    <w:p w:rsidR="00CC21B3" w:rsidRPr="00E3673B" w:rsidRDefault="00CC21B3" w:rsidP="00CC21B3">
      <w:pPr>
        <w:widowControl/>
        <w:overflowPunct w:val="0"/>
        <w:spacing w:beforeAutospacing="1" w:afterAutospacing="1" w:line="240" w:lineRule="auto"/>
        <w:ind w:firstLine="0"/>
        <w:rPr>
          <w:rFonts w:ascii="Times New Roman" w:hAnsi="Times New Roman" w:cs="Times New Roman"/>
          <w:b/>
          <w:color w:val="00000A"/>
          <w:sz w:val="24"/>
          <w:szCs w:val="24"/>
          <w:lang w:eastAsia="cs-CZ"/>
        </w:rPr>
      </w:pPr>
      <w:r w:rsidRPr="00E3673B">
        <w:rPr>
          <w:rFonts w:ascii="Times New Roman" w:hAnsi="Times New Roman" w:cs="Times New Roman"/>
          <w:b/>
          <w:color w:val="00000A"/>
          <w:sz w:val="24"/>
          <w:szCs w:val="24"/>
          <w:lang w:eastAsia="cs-CZ"/>
        </w:rPr>
        <w:t>Pojďme se tedy nyní podívat na její konkrétní ustanovení.</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Novela navrhuje stávající licenci pro osoby se zdravotním post</w:t>
      </w:r>
      <w:r w:rsidR="007C6B50">
        <w:rPr>
          <w:rFonts w:ascii="Times New Roman" w:hAnsi="Times New Roman" w:cs="Times New Roman"/>
          <w:color w:val="00000A"/>
          <w:sz w:val="24"/>
          <w:szCs w:val="24"/>
          <w:lang w:eastAsia="cs-CZ"/>
        </w:rPr>
        <w:t>ižením přesunout z ustanovení § </w:t>
      </w:r>
      <w:r w:rsidRPr="00CC21B3">
        <w:rPr>
          <w:rFonts w:ascii="Times New Roman" w:hAnsi="Times New Roman" w:cs="Times New Roman"/>
          <w:color w:val="00000A"/>
          <w:sz w:val="24"/>
          <w:szCs w:val="24"/>
          <w:lang w:eastAsia="cs-CZ"/>
        </w:rPr>
        <w:t>38 pod §</w:t>
      </w:r>
      <w:r w:rsidR="007C6B50">
        <w:rPr>
          <w:rFonts w:ascii="Times New Roman" w:hAnsi="Times New Roman" w:cs="Times New Roman"/>
          <w:color w:val="00000A"/>
          <w:sz w:val="24"/>
          <w:szCs w:val="24"/>
          <w:lang w:eastAsia="cs-CZ"/>
        </w:rPr>
        <w:t> </w:t>
      </w:r>
      <w:r w:rsidRPr="00CC21B3">
        <w:rPr>
          <w:rFonts w:ascii="Times New Roman" w:hAnsi="Times New Roman" w:cs="Times New Roman"/>
          <w:color w:val="00000A"/>
          <w:sz w:val="24"/>
          <w:szCs w:val="24"/>
          <w:lang w:eastAsia="cs-CZ"/>
        </w:rPr>
        <w:t>39 a dále navrhuje nová ustanovení §</w:t>
      </w:r>
      <w:r w:rsidR="007C6B50">
        <w:rPr>
          <w:rFonts w:ascii="Times New Roman" w:hAnsi="Times New Roman" w:cs="Times New Roman"/>
          <w:color w:val="00000A"/>
          <w:sz w:val="24"/>
          <w:szCs w:val="24"/>
          <w:lang w:eastAsia="cs-CZ"/>
        </w:rPr>
        <w:t> </w:t>
      </w:r>
      <w:r w:rsidRPr="00CC21B3">
        <w:rPr>
          <w:rFonts w:ascii="Times New Roman" w:hAnsi="Times New Roman" w:cs="Times New Roman"/>
          <w:color w:val="00000A"/>
          <w:sz w:val="24"/>
          <w:szCs w:val="24"/>
          <w:lang w:eastAsia="cs-CZ"/>
        </w:rPr>
        <w:t xml:space="preserve">39a a </w:t>
      </w:r>
      <w:bookmarkStart w:id="5" w:name="_GoBack"/>
      <w:bookmarkEnd w:id="5"/>
      <w:r w:rsidRPr="00CC21B3">
        <w:rPr>
          <w:rFonts w:ascii="Times New Roman" w:hAnsi="Times New Roman" w:cs="Times New Roman"/>
          <w:color w:val="00000A"/>
          <w:sz w:val="24"/>
          <w:szCs w:val="24"/>
          <w:lang w:eastAsia="cs-CZ"/>
        </w:rPr>
        <w:t xml:space="preserve">39b. </w:t>
      </w:r>
      <w:proofErr w:type="gramStart"/>
      <w:r w:rsidRPr="00CC21B3">
        <w:rPr>
          <w:rFonts w:ascii="Times New Roman" w:hAnsi="Times New Roman" w:cs="Times New Roman"/>
          <w:color w:val="00000A"/>
          <w:sz w:val="24"/>
          <w:szCs w:val="24"/>
          <w:lang w:eastAsia="cs-CZ"/>
        </w:rPr>
        <w:t>Ta</w:t>
      </w:r>
      <w:proofErr w:type="gramEnd"/>
      <w:r w:rsidRPr="00CC21B3">
        <w:rPr>
          <w:rFonts w:ascii="Times New Roman" w:hAnsi="Times New Roman" w:cs="Times New Roman"/>
          <w:color w:val="00000A"/>
          <w:sz w:val="24"/>
          <w:szCs w:val="24"/>
          <w:lang w:eastAsia="cs-CZ"/>
        </w:rPr>
        <w:t xml:space="preserve"> zřizují institut oprávněného příjemce, za něhož se považuje osoba, </w:t>
      </w:r>
      <w:proofErr w:type="gramStart"/>
      <w:r w:rsidRPr="00CC21B3">
        <w:rPr>
          <w:rFonts w:ascii="Times New Roman" w:hAnsi="Times New Roman" w:cs="Times New Roman"/>
          <w:color w:val="00000A"/>
          <w:sz w:val="24"/>
          <w:szCs w:val="24"/>
          <w:lang w:eastAsia="cs-CZ"/>
        </w:rPr>
        <w:t>která:</w:t>
      </w:r>
      <w:proofErr w:type="gramEnd"/>
    </w:p>
    <w:p w:rsidR="00CC21B3" w:rsidRPr="00E3673B" w:rsidRDefault="00CC21B3" w:rsidP="00E3673B">
      <w:pPr>
        <w:pStyle w:val="Odstavecseseznamem"/>
        <w:widowControl/>
        <w:numPr>
          <w:ilvl w:val="0"/>
          <w:numId w:val="7"/>
        </w:numPr>
        <w:overflowPunct w:val="0"/>
        <w:spacing w:beforeAutospacing="1" w:afterAutospacing="1" w:line="240" w:lineRule="auto"/>
        <w:rPr>
          <w:rFonts w:ascii="Times New Roman" w:hAnsi="Times New Roman" w:cs="Times New Roman"/>
          <w:color w:val="00000A"/>
          <w:sz w:val="24"/>
          <w:szCs w:val="24"/>
          <w:lang w:eastAsia="cs-CZ"/>
        </w:rPr>
      </w:pPr>
      <w:r w:rsidRPr="00E3673B">
        <w:rPr>
          <w:rFonts w:ascii="Times New Roman" w:hAnsi="Times New Roman" w:cs="Times New Roman"/>
          <w:color w:val="00000A"/>
          <w:sz w:val="24"/>
          <w:szCs w:val="24"/>
          <w:lang w:eastAsia="cs-CZ"/>
        </w:rPr>
        <w:t>je nevidomá,</w:t>
      </w:r>
    </w:p>
    <w:p w:rsidR="00CC21B3" w:rsidRPr="00E3673B" w:rsidRDefault="00CC21B3" w:rsidP="00E3673B">
      <w:pPr>
        <w:pStyle w:val="Odstavecseseznamem"/>
        <w:widowControl/>
        <w:numPr>
          <w:ilvl w:val="0"/>
          <w:numId w:val="7"/>
        </w:numPr>
        <w:overflowPunct w:val="0"/>
        <w:spacing w:beforeAutospacing="1" w:afterAutospacing="1" w:line="240" w:lineRule="auto"/>
        <w:rPr>
          <w:rFonts w:ascii="Times New Roman" w:hAnsi="Times New Roman" w:cs="Times New Roman"/>
          <w:color w:val="00000A"/>
          <w:sz w:val="24"/>
          <w:szCs w:val="24"/>
          <w:lang w:eastAsia="cs-CZ"/>
        </w:rPr>
      </w:pPr>
      <w:r w:rsidRPr="00E3673B">
        <w:rPr>
          <w:rFonts w:ascii="Times New Roman" w:hAnsi="Times New Roman" w:cs="Times New Roman"/>
          <w:color w:val="00000A"/>
          <w:sz w:val="24"/>
          <w:szCs w:val="24"/>
          <w:lang w:eastAsia="cs-CZ"/>
        </w:rPr>
        <w:t>má zrakové postižení, které nelze kompenzovat nebo zmírnit tak, aby byla schopna číst stejným způsobem jako osoba bez tohoto postižení,</w:t>
      </w:r>
    </w:p>
    <w:p w:rsidR="00CC21B3" w:rsidRPr="00E3673B" w:rsidRDefault="00CC21B3" w:rsidP="00E3673B">
      <w:pPr>
        <w:pStyle w:val="Odstavecseseznamem"/>
        <w:widowControl/>
        <w:numPr>
          <w:ilvl w:val="0"/>
          <w:numId w:val="7"/>
        </w:numPr>
        <w:overflowPunct w:val="0"/>
        <w:spacing w:beforeAutospacing="1" w:afterAutospacing="1" w:line="240" w:lineRule="auto"/>
        <w:rPr>
          <w:rFonts w:ascii="Times New Roman" w:hAnsi="Times New Roman" w:cs="Times New Roman"/>
          <w:color w:val="00000A"/>
          <w:sz w:val="24"/>
          <w:szCs w:val="24"/>
          <w:lang w:eastAsia="cs-CZ"/>
        </w:rPr>
      </w:pPr>
      <w:r w:rsidRPr="00E3673B">
        <w:rPr>
          <w:rFonts w:ascii="Times New Roman" w:hAnsi="Times New Roman" w:cs="Times New Roman"/>
          <w:color w:val="00000A"/>
          <w:sz w:val="24"/>
          <w:szCs w:val="24"/>
          <w:lang w:eastAsia="cs-CZ"/>
        </w:rPr>
        <w:t>má poruchu vnímání nebo čtení, která jí znemožňuje číst téměř stejným způsobem jako osoba bez takové poruchy, nebo</w:t>
      </w:r>
    </w:p>
    <w:p w:rsidR="00CC21B3" w:rsidRPr="00E3673B" w:rsidRDefault="00CC21B3" w:rsidP="00E3673B">
      <w:pPr>
        <w:pStyle w:val="Odstavecseseznamem"/>
        <w:widowControl/>
        <w:numPr>
          <w:ilvl w:val="0"/>
          <w:numId w:val="7"/>
        </w:numPr>
        <w:overflowPunct w:val="0"/>
        <w:spacing w:beforeAutospacing="1" w:afterAutospacing="1" w:line="240" w:lineRule="auto"/>
        <w:rPr>
          <w:rFonts w:ascii="Times New Roman" w:hAnsi="Times New Roman" w:cs="Times New Roman"/>
          <w:color w:val="00000A"/>
          <w:sz w:val="24"/>
          <w:szCs w:val="24"/>
          <w:lang w:eastAsia="cs-CZ"/>
        </w:rPr>
      </w:pPr>
      <w:r w:rsidRPr="00E3673B">
        <w:rPr>
          <w:rFonts w:ascii="Times New Roman" w:hAnsi="Times New Roman" w:cs="Times New Roman"/>
          <w:color w:val="00000A"/>
          <w:sz w:val="24"/>
          <w:szCs w:val="24"/>
          <w:lang w:eastAsia="cs-CZ"/>
        </w:rPr>
        <w:t>není kvůli tělesnému postižení schopna držet knihu, časopis, noviny nebo obdobnou písemnost nebo s ní manipulovat nebo zaostřit zrak či pohybovat očima v míře dostatečné pro čtení.</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Dále novela zřizuje institut oprávněného poskytovatele, jímž je právnická osoba, která jako jednu ze svých hlavních činností nebo jako součást svého poslání ve veřejném zájmu poskytuje nikoli za účelem přímého nebo nepřímého hospodářského nebo obchodního prospěchu oprávněným příjemcům vzdělávání, instruktážní výuku, adaptivní četbu nebo přístup k informacím.</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Oprávněný poskytovatel může zhotovit formátově přístupnou rozmnoženinu díla, a tu oprávněným příjemcům i oprávněným poskytovatelům v České republice i v zahraničí rozšiřovat, půjčovat či sdělovat, to vše za podmínky, děje-li se tak bezúplatně a bez přímého či nepřímého hospodářského prospěchu a jen pro potřebu oprávněného příjemce.</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Návrh přesně vymezuje, co se za formátově přístupnou rozmnoženinu pro účely těchto ustanovení považuje:</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jde o rozmnoženinu originálu nebo rozmnoženiny díla v podobě knihy, odborného periodika, novin, časopisu, jiné písemnosti, včetně souvisejících ilustrací, nebo notového záznamu, a to na jakémkoli nosiči, zhotovená v alternativním provedení nebo formátu, které umožňují oprávněnému příjemci číst nebo jinak vnímat dílo stejným nebo v podstatě stejným způsobem jako osobě bez postižení nebo poruchy podle předchozích odstavců.</w:t>
      </w:r>
    </w:p>
    <w:p w:rsidR="00CC21B3" w:rsidRP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Navíc novela pro oprávněné poskytovatele, kteří budou spolupracovat s oprávněnými poskytovateli či příjemci v zahraničí, přináší některé povinnosti, např. musí vést veřejně přístupný seznam děl, která poskytují, musí přijmout opatření, aby díla nebyla protiprávně sdělována veřejnosti, atp.</w:t>
      </w:r>
    </w:p>
    <w:p w:rsidR="00E3673B" w:rsidRDefault="00E3673B">
      <w:pPr>
        <w:widowControl/>
        <w:tabs>
          <w:tab w:val="clear" w:pos="1700"/>
          <w:tab w:val="clear" w:pos="2267"/>
          <w:tab w:val="clear" w:pos="3401"/>
        </w:tabs>
        <w:spacing w:line="240" w:lineRule="auto"/>
        <w:ind w:firstLine="0"/>
        <w:jc w:val="left"/>
        <w:rPr>
          <w:rFonts w:ascii="Times New Roman" w:hAnsi="Times New Roman" w:cs="Times New Roman"/>
          <w:b/>
          <w:bCs/>
          <w:color w:val="00000A"/>
          <w:sz w:val="27"/>
          <w:szCs w:val="27"/>
          <w:lang w:eastAsia="cs-CZ"/>
        </w:rPr>
      </w:pPr>
      <w:r>
        <w:rPr>
          <w:rFonts w:ascii="Times New Roman" w:hAnsi="Times New Roman" w:cs="Times New Roman"/>
          <w:b/>
          <w:bCs/>
          <w:color w:val="00000A"/>
          <w:sz w:val="27"/>
          <w:szCs w:val="27"/>
          <w:lang w:eastAsia="cs-CZ"/>
        </w:rPr>
        <w:br w:type="page"/>
      </w:r>
    </w:p>
    <w:p w:rsidR="00CC21B3" w:rsidRPr="00CC21B3" w:rsidRDefault="00CC21B3" w:rsidP="00CC21B3">
      <w:pPr>
        <w:widowControl/>
        <w:spacing w:before="100" w:beforeAutospacing="1" w:after="100" w:afterAutospacing="1" w:line="240" w:lineRule="auto"/>
        <w:ind w:firstLine="0"/>
        <w:outlineLvl w:val="2"/>
        <w:rPr>
          <w:rFonts w:ascii="Times New Roman" w:hAnsi="Times New Roman" w:cs="Times New Roman"/>
          <w:color w:val="00000A"/>
          <w:sz w:val="24"/>
          <w:szCs w:val="24"/>
          <w:lang w:eastAsia="cs-CZ"/>
        </w:rPr>
      </w:pPr>
      <w:r w:rsidRPr="00CC21B3">
        <w:rPr>
          <w:rFonts w:ascii="Times New Roman" w:hAnsi="Times New Roman" w:cs="Times New Roman"/>
          <w:b/>
          <w:bCs/>
          <w:color w:val="00000A"/>
          <w:sz w:val="27"/>
          <w:szCs w:val="27"/>
          <w:lang w:eastAsia="cs-CZ"/>
        </w:rPr>
        <w:t>Praktický přínos</w:t>
      </w:r>
    </w:p>
    <w:p w:rsidR="00CC21B3" w:rsidRDefault="00CC21B3" w:rsidP="00CC21B3">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CC21B3">
        <w:rPr>
          <w:rFonts w:ascii="Times New Roman" w:hAnsi="Times New Roman" w:cs="Times New Roman"/>
          <w:color w:val="00000A"/>
          <w:sz w:val="24"/>
          <w:szCs w:val="24"/>
          <w:lang w:eastAsia="cs-CZ"/>
        </w:rPr>
        <w:t>Nová úprava tedy nepřinese žádný zásadní průlom v již nyní existujících výjimkách z</w:t>
      </w:r>
      <w:r w:rsidR="00E3673B">
        <w:rPr>
          <w:rFonts w:ascii="Times New Roman" w:hAnsi="Times New Roman" w:cs="Times New Roman"/>
          <w:color w:val="00000A"/>
          <w:sz w:val="24"/>
          <w:szCs w:val="24"/>
          <w:lang w:eastAsia="cs-CZ"/>
        </w:rPr>
        <w:t> </w:t>
      </w:r>
      <w:r w:rsidRPr="00CC21B3">
        <w:rPr>
          <w:rFonts w:ascii="Times New Roman" w:hAnsi="Times New Roman" w:cs="Times New Roman"/>
          <w:color w:val="00000A"/>
          <w:sz w:val="24"/>
          <w:szCs w:val="24"/>
          <w:lang w:eastAsia="cs-CZ"/>
        </w:rPr>
        <w:t>autorských práv ve prospěch českých občanů se zrakovým postižením. Vnitrostátní licence pro osoby se zdravotním postižením zůstává v plné šíři zachována, navíc je však umožněna legální přeshraniční výměna autorských děl, která jsou zpřístupněna zrakově postiženým osobám. Umožňuje všem, kteří splní definici oprávněných příjemců (viz výše), aby si mohli zpřístupněná autorská díla půjčovat, sdělovat i rozšiřovat od oprávněných poskytovatelů v ČR i v zahraničí.</w:t>
      </w:r>
    </w:p>
    <w:p w:rsidR="00E557E9" w:rsidRDefault="00E557E9">
      <w:pPr>
        <w:widowControl/>
        <w:overflowPunct w:val="0"/>
        <w:spacing w:beforeAutospacing="1" w:afterAutospacing="1" w:line="240" w:lineRule="auto"/>
        <w:ind w:firstLine="0"/>
        <w:rPr>
          <w:rFonts w:ascii="Times New Roman" w:hAnsi="Times New Roman" w:cs="Times New Roman"/>
          <w:b/>
          <w:color w:val="00000A"/>
          <w:sz w:val="24"/>
          <w:szCs w:val="24"/>
          <w:lang w:eastAsia="cs-CZ"/>
        </w:rPr>
      </w:pPr>
    </w:p>
    <w:p w:rsidR="00E557E9" w:rsidRDefault="00E06244">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Za Sociálně právní poradnu SONS v Praze</w:t>
      </w:r>
    </w:p>
    <w:p w:rsidR="00E557E9" w:rsidRDefault="00CC21B3">
      <w:pPr>
        <w:widowControl/>
        <w:overflowPunct w:val="0"/>
        <w:spacing w:beforeAutospacing="1" w:afterAutospacing="1" w:line="240" w:lineRule="auto"/>
        <w:ind w:firstLine="0"/>
      </w:pPr>
      <w:r w:rsidRPr="00CC21B3">
        <w:rPr>
          <w:rFonts w:ascii="Times New Roman" w:hAnsi="Times New Roman" w:cs="Times New Roman"/>
          <w:b/>
          <w:i/>
          <w:color w:val="00000A"/>
          <w:sz w:val="24"/>
          <w:szCs w:val="24"/>
          <w:lang w:eastAsia="cs-CZ"/>
        </w:rPr>
        <w:t>Luboš Zajíc</w:t>
      </w:r>
    </w:p>
    <w:sectPr w:rsidR="00E557E9">
      <w:pgSz w:w="11906" w:h="16838"/>
      <w:pgMar w:top="1417" w:right="1417" w:bottom="1417" w:left="1417"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01"/>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3">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3F23F2"/>
    <w:rsid w:val="004D1C77"/>
    <w:rsid w:val="005546C1"/>
    <w:rsid w:val="007C6B50"/>
    <w:rsid w:val="00865F2A"/>
    <w:rsid w:val="0094210C"/>
    <w:rsid w:val="00B21355"/>
    <w:rsid w:val="00CC21B3"/>
    <w:rsid w:val="00E06244"/>
    <w:rsid w:val="00E3673B"/>
    <w:rsid w:val="00E557E9"/>
    <w:rsid w:val="00F076C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7296-8C42-4635-AB17-0F71F2F2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1278</Words>
  <Characters>7543</Characters>
  <Application>Microsoft Office Word</Application>
  <DocSecurity>0</DocSecurity>
  <Lines>62</Lines>
  <Paragraphs>17</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
      <vt:lpstr>Informace a odpovědi na dotazy ze Sociálně právní poradny SONS v Praze 01/2019</vt:lpstr>
      <vt:lpstr>    Rekapitulace zvýšení důchodů</vt:lpstr>
      <vt:lpstr>    Zvýšení minimální mzdy</vt:lpstr>
      <vt:lpstr>    Zvýšení částek životního a existenčního minima</vt:lpstr>
      <vt:lpstr>    Marrákešská smlouva v české legislativě</vt:lpstr>
      <vt:lpstr>        Implementace do české legislativy</vt:lpstr>
      <vt:lpstr>        Praktický přínos</vt:lpstr>
    </vt:vector>
  </TitlesOfParts>
  <Company>Hewlett-Packard Company</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dcterms:created xsi:type="dcterms:W3CDTF">2019-02-20T09:55:00Z</dcterms:created>
  <dcterms:modified xsi:type="dcterms:W3CDTF">2019-02-20T13:15:00Z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