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 w:cs="Times New Roman"/>
          <w:b/>
          <w:bCs/>
          <w:noProof w:val="0"/>
          <w:color w:val="auto"/>
          <w:kern w:val="36"/>
          <w:sz w:val="48"/>
          <w:szCs w:val="48"/>
          <w:lang w:eastAsia="cs-CZ"/>
        </w:rPr>
      </w:pPr>
      <w:r w:rsidRPr="00A5436D">
        <w:rPr>
          <w:rFonts w:ascii="Times New Roman" w:hAnsi="Times New Roman" w:cs="Times New Roman"/>
          <w:b/>
          <w:bCs/>
          <w:noProof w:val="0"/>
          <w:color w:val="auto"/>
          <w:kern w:val="36"/>
          <w:sz w:val="48"/>
          <w:szCs w:val="48"/>
          <w:lang w:eastAsia="cs-CZ"/>
        </w:rPr>
        <w:t>Informace a odpovědi na dotazy ze Sociálně právní poradny SONS v Praze 03/2018</w:t>
      </w:r>
    </w:p>
    <w:p w:rsidR="00A5436D" w:rsidRPr="00A5436D" w:rsidRDefault="000B34EC" w:rsidP="00AA0428">
      <w:pPr>
        <w:widowControl/>
        <w:numPr>
          <w:ilvl w:val="0"/>
          <w:numId w:val="1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hyperlink w:anchor="Daně" w:history="1">
        <w:r w:rsidR="00A5436D" w:rsidRPr="00E1400B">
          <w:rPr>
            <w:rStyle w:val="Hypertextovodkaz"/>
            <w:rFonts w:ascii="Times New Roman" w:hAnsi="Times New Roman" w:cs="Times New Roman"/>
            <w:noProof w:val="0"/>
            <w:kern w:val="0"/>
            <w:sz w:val="24"/>
            <w:szCs w:val="24"/>
            <w:lang w:eastAsia="cs-CZ"/>
          </w:rPr>
          <w:t>Daňové přiznání, kdo a dokdy,</w:t>
        </w:r>
      </w:hyperlink>
    </w:p>
    <w:p w:rsidR="00AA0428" w:rsidRPr="00AA0428" w:rsidRDefault="000B34EC" w:rsidP="00AA0428">
      <w:pPr>
        <w:widowControl/>
        <w:numPr>
          <w:ilvl w:val="0"/>
          <w:numId w:val="1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hyperlink w:anchor="OZP" w:history="1">
        <w:r w:rsidR="00A5436D" w:rsidRPr="00AA0428">
          <w:rPr>
            <w:rStyle w:val="Hypertextovodkaz"/>
            <w:rFonts w:ascii="Times New Roman" w:hAnsi="Times New Roman" w:cs="Times New Roman"/>
            <w:noProof w:val="0"/>
            <w:kern w:val="0"/>
            <w:sz w:val="24"/>
            <w:szCs w:val="24"/>
            <w:lang w:eastAsia="cs-CZ"/>
          </w:rPr>
          <w:t>pokus o výčet benefitů spojených s průkazem OZP – první část</w:t>
        </w:r>
      </w:hyperlink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to jsou témata, kterými se zabývá březnový článek ze Sociálně právní poradny SONS v Praze.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noProof w:val="0"/>
          <w:color w:val="auto"/>
          <w:kern w:val="0"/>
          <w:sz w:val="36"/>
          <w:szCs w:val="36"/>
          <w:lang w:eastAsia="cs-CZ"/>
        </w:rPr>
      </w:pPr>
      <w:bookmarkStart w:id="0" w:name="Daně"/>
      <w:r w:rsidRPr="00A5436D">
        <w:rPr>
          <w:rFonts w:ascii="Times New Roman" w:hAnsi="Times New Roman" w:cs="Times New Roman"/>
          <w:b/>
          <w:bCs/>
          <w:noProof w:val="0"/>
          <w:color w:val="auto"/>
          <w:kern w:val="0"/>
          <w:sz w:val="36"/>
          <w:szCs w:val="36"/>
          <w:lang w:eastAsia="cs-CZ"/>
        </w:rPr>
        <w:t>Kdo a dokdy musí podat daňové přiznání?</w:t>
      </w:r>
      <w:bookmarkEnd w:id="0"/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Opět se ocitáme v období, kdy mnozí z nás řeší, zda a dokdy jsme povinni podat daňové přiznání k dani z příjmů. V minulých letech jsme se této dani a všem možným slevám, které si fyzická osoba může z důvodu zrakového postižení uplatnit, věnovali dosti podrobně a lze říci, že zde nedošlo k takřka žádným změnám. Proto se tentokrát omezíme na základní informaci, kdo je povinen a dokdy daňové přiznání finančnímu úřadu podat.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Povinností podat daňové přiznání se zabývá ustanovení § 38g zákona o daních z příjmů (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z. </w:t>
      </w:r>
      <w:proofErr w:type="gramStart"/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č.</w:t>
      </w:r>
      <w:proofErr w:type="gramEnd"/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586/1992 Sb., ve znění pozdějších předpisů).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První pravidlo říká, že daňové přiznání je povinen podat ten, jehož příjmy přesáhly za rok částku 15 000 Kč. Do těchto příjmů se však některé nezapočítávají. A to příjmy od daně osvobozené, typicky tedy např. invalidní důchod, příspěvek na péči a mnohé další. Jejich taxativní výčet najdeme v ustanovení § 4 a § 4a. Dále se nezapočítávají příjmy, z nichž je daň vybíraná srážkou podle zvláštní sazby daně (tedy příjmy z dohod o provedení práce, z nichž měsíční odměna nepřesáhne částku 10 000 Kč).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Dále daňové přiznání není povinen podat zaměstnanec, který má příjmy ze závislé činnosti pouze od jednoho zaměstnavatele nebo postupně od více zaměstnavatelů, ale podmínkou je, že u každého z nich podepsal tzv. prohlášení k dani (známé svým růžovým formulářem) a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jeho další příjmy, opět sem nepočítáme příjmy od daně osvobozené a příjmy, z nichž se daň vybírá zvláštní srážkou daně, nepřesahují 6 000 Kč ročně. Za tyto daňové poplatníky provede tzv. roční zúčtování záloh a daňového zvýhodnění plátce daně, resp. poslední ze zaměstnavatelů, u něhož měl poplatník prohlášení k dani podepsáno.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Daňové přiznání tedy (velmi zjednodušeně řečeno) musí určitě podat ten, kdo měl souběžně příjmy od několika zaměstnavatelů (nejednalo-li se o dohodu o provedení práce s odměnou do 10 000), dále ten, kdo vykonával samostatnou výdělečnou činnost, ten, kdo nepodepsal prohlášení k dani, ačkoliv měl příjmy ze závislé činnosti (opět neplatí u uvedených DPP), jakož i ten, kdo měl příjmy uvedené v ustanoveních § 7 až 10 zákona o daních z příjmů za splnění podmínek v těchto ustanoveních uvedených.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Daňové přiznání, nevyužíváme-li služeb daňového poradce, je třeba podat do 1. dubna. Protože v letošním roce 1. duben připadne na neděli, postačí podat daňové přiznání v pondělí 2. dubna. Má-li subjekt povinnost mít ověřenu účetní závěrku auditorem nebo jeho daňové přiznání zpracovává a podává poradce, má povinnost je podat do 30. června.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noProof w:val="0"/>
          <w:color w:val="auto"/>
          <w:kern w:val="0"/>
          <w:sz w:val="36"/>
          <w:szCs w:val="36"/>
          <w:lang w:eastAsia="cs-CZ"/>
        </w:rPr>
      </w:pPr>
      <w:bookmarkStart w:id="1" w:name="OZP"/>
      <w:r w:rsidRPr="00A5436D">
        <w:rPr>
          <w:rFonts w:ascii="Times New Roman" w:hAnsi="Times New Roman" w:cs="Times New Roman"/>
          <w:b/>
          <w:bCs/>
          <w:noProof w:val="0"/>
          <w:color w:val="auto"/>
          <w:kern w:val="0"/>
          <w:sz w:val="36"/>
          <w:szCs w:val="36"/>
          <w:lang w:eastAsia="cs-CZ"/>
        </w:rPr>
        <w:lastRenderedPageBreak/>
        <w:t>Výhody plynoucí z průkazu osoby se zdravotním postižením – 1. část</w:t>
      </w:r>
      <w:bookmarkEnd w:id="1"/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K pokusu o sepsání benefitů, které souvisejí s průkazem osoby se zdravotním postižením, tedy průkazem TP, ale zejména ZTP a ZTP/P, jsem byl inspirován podnětem dvou čtenářů, kteří mě shodně upozornili na článek na webové stránce Sociálních novin, jež se o takovýto seznam pokouší. Ano, odkazovaný seznam je určitě zajímavý, ostatně proč zde odkaz na něj neuvést, tedy:</w:t>
      </w:r>
    </w:p>
    <w:p w:rsidR="00A5436D" w:rsidRPr="00A5436D" w:rsidRDefault="000B34EC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hyperlink r:id="rId6" w:history="1">
        <w:r w:rsidR="00A5436D" w:rsidRPr="00A5436D">
          <w:rPr>
            <w:rFonts w:ascii="Times New Roman" w:hAnsi="Times New Roman" w:cs="Times New Roman"/>
            <w:noProof w:val="0"/>
            <w:color w:val="0000FF"/>
            <w:kern w:val="0"/>
            <w:sz w:val="24"/>
            <w:szCs w:val="24"/>
            <w:u w:val="single"/>
            <w:lang w:eastAsia="cs-CZ"/>
          </w:rPr>
          <w:t>http://socialninoviny.cz/rubriky/informace/pozor-velky-seznam-vyhod-drzitele-prukazu-ztp-p/</w:t>
        </w:r>
      </w:hyperlink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Ač odkazovaný seznam považuji za velice užitečný, přece se mi jeví za potřebné poněkud objasnit některé rozdíly mezi jednotlivými položkami uvedeného seznamu a také se pokusit o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co nejúplnější a aktuální výčet benefitů.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Některé z benefitů jsou upraveny právními předpisy, tudíž je jejich poskytnutí jednoznačně vymahatelné – pozor i zde platí určité výjimky, protože i zákon obsahuje slevy, jejichž poskytnutí je tak říkajíc fakultativní, tedy závisí na rozhodnutí konkrétního subjektu (z našeho hlediska případného poskytovatele), zda a kterou slevu (a svým způsobem tak částečně i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komu) slevu poskytne.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Dále pak existují slevy, které žádný právní předpis nenařizuje, jsou poskytovány jen z vlastní dobré vůle či např. z marketingových důvodů určitého subjektu – i těmi se pokusíme později zabývat.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Nejdříve se pusťme do soupisu ze zákonných ustanovení plynoucích benefitů.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Nejvíce pohromadě jich najdeme v zákonu, který samotný průkaz osoby se zdravotním postižením upravuje, tedy ve všem čtenářům naší rubriky dobře známém zákonu o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poskytování dávek osobám se zdravotním postižením (z. </w:t>
      </w:r>
      <w:proofErr w:type="gramStart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č.</w:t>
      </w:r>
      <w:proofErr w:type="gramEnd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 329/2011 Sb., ve znění pozdějších předpisů).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Na co vše má držitel průkazu dle tohoto zákona nárok, upravuje ustanovení § 36. Ač jsou tyto výhody chronicky známy, přece jen si dovolím ustanovení citovat: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„(1) Osoba, která je držitelem průkazu TP, má nárok </w:t>
      </w:r>
      <w:proofErr w:type="gramStart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na</w:t>
      </w:r>
      <w:proofErr w:type="gramEnd"/>
    </w:p>
    <w:p w:rsidR="00A5436D" w:rsidRPr="00A5436D" w:rsidRDefault="00A5436D" w:rsidP="000B34EC">
      <w:pPr>
        <w:widowControl/>
        <w:numPr>
          <w:ilvl w:val="0"/>
          <w:numId w:val="9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vyhrazené místo k sedění ve veřejných dopravních prostředcích pro pravidelnou hromadnou dopravu osob, s výjimkou dopravních prostředků, v nichž je místo k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sedění vázáno na zakoupení místenky,</w:t>
      </w:r>
    </w:p>
    <w:p w:rsidR="00AA0428" w:rsidRDefault="00A5436D" w:rsidP="000B34EC">
      <w:pPr>
        <w:widowControl/>
        <w:numPr>
          <w:ilvl w:val="0"/>
          <w:numId w:val="9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přednost při osobním projednávání své záležitosti, vyžaduje-li toto jednání delší čekání, zejména stání; za osobní projednávání záležitostí se nepovažuje nákup v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obchodech ani obstarávání placených služeb ani ošetření a vyšetření ve zdravotnických zařízeních.</w:t>
      </w:r>
    </w:p>
    <w:p w:rsidR="00AA0428" w:rsidRDefault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br w:type="page"/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(2) Osoba, která je držitelem průkazu ZTP, má nárok </w:t>
      </w:r>
      <w:proofErr w:type="gramStart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na</w:t>
      </w:r>
      <w:proofErr w:type="gramEnd"/>
    </w:p>
    <w:p w:rsidR="00A5436D" w:rsidRPr="00A5436D" w:rsidRDefault="00A5436D" w:rsidP="000B34EC">
      <w:pPr>
        <w:widowControl/>
        <w:numPr>
          <w:ilvl w:val="0"/>
          <w:numId w:val="7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výhody uvedené v odstavci 1,</w:t>
      </w:r>
    </w:p>
    <w:p w:rsidR="00A5436D" w:rsidRPr="00A5436D" w:rsidRDefault="00A5436D" w:rsidP="000B34EC">
      <w:pPr>
        <w:widowControl/>
        <w:numPr>
          <w:ilvl w:val="0"/>
          <w:numId w:val="7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bezplatnou dopravu pravidelnými spoji místní veřejné hromadné dopravy osob (tramvajemi, trolejbusy, autobusy, metrem),</w:t>
      </w:r>
    </w:p>
    <w:p w:rsidR="00A5436D" w:rsidRPr="00A5436D" w:rsidRDefault="00A5436D" w:rsidP="000B34EC">
      <w:pPr>
        <w:widowControl/>
        <w:numPr>
          <w:ilvl w:val="0"/>
          <w:numId w:val="7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slevu 75 % jízdného ve druhé vozové třídě osobního vlaku a rychlíku ve vnitrostátní přepravě a slevu 75 % v pravidelných vnitrostátních spojích autobusové dopravy.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(3) Osoba, která je držitelem průkazu ZTP/P, má nárok </w:t>
      </w:r>
      <w:proofErr w:type="gramStart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na</w:t>
      </w:r>
      <w:proofErr w:type="gramEnd"/>
    </w:p>
    <w:p w:rsidR="00A5436D" w:rsidRPr="00A5436D" w:rsidRDefault="00A5436D" w:rsidP="000B34EC">
      <w:pPr>
        <w:widowControl/>
        <w:numPr>
          <w:ilvl w:val="0"/>
          <w:numId w:val="8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výhody uvedené v odstavcích 1 a 2,</w:t>
      </w:r>
    </w:p>
    <w:p w:rsidR="00A5436D" w:rsidRPr="00A5436D" w:rsidRDefault="00A5436D" w:rsidP="000B34EC">
      <w:pPr>
        <w:widowControl/>
        <w:numPr>
          <w:ilvl w:val="0"/>
          <w:numId w:val="8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bezplatnou dopravu průvodce veřejnými hromadnými dopravními prostředky v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pravidelné vnitrostátní osobní hromadné dopravě,</w:t>
      </w:r>
    </w:p>
    <w:p w:rsidR="00A5436D" w:rsidRPr="00A5436D" w:rsidRDefault="00A5436D" w:rsidP="000B34EC">
      <w:pPr>
        <w:widowControl/>
        <w:numPr>
          <w:ilvl w:val="0"/>
          <w:numId w:val="8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bezplatnou dopravu vodicího psa, je-li úplně nebo prakticky nevidomá, pokud ji nedoprovází průvodce.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(4) Osobě, která je držitelem průkazu ZTP nebo průkazu ZTP/P, a průvodci držitele průkazu ZTP/P, může být poskytnuta sleva ze vstupného na divadelní a filmová představení, koncerty a jiné kulturní a sportovní akce.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(5) Další nároky osob, které jsou držiteli průkazu TP, ZTP nebo ZTP/P, upravují jiné právní předpisy.“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Fakultativnost, tedy </w:t>
      </w:r>
      <w:proofErr w:type="spellStart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nenárokovost</w:t>
      </w:r>
      <w:proofErr w:type="spellEnd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 xml:space="preserve"> slev uvedených v odstavci 4 upravujícím slevy ze vstupného na vyjmenované akce vyjadřuje ono sousloví „může být poskytnuta“. A protože si v této souvislosti vzpomínám na emoce, které v určitých kruzích vyvolal spor o to, zda když pořadatel nějaké akce poskytne slevu jen některým skupinám držitelů průkazu ZTP či ZTP/P s ohledem na druh jejich zdravotního postižení, nejedná-li se o diskriminaci, vyslovím v této souvislosti znovu můj tehdejší i nynější právní názor. I kdybychom prokázali, že se tak organizátor akce diskriminace vůči určité skupině osob dopouští, nejjednodušším způsobem odstranění takového diskriminačního chování by bylo, aby onen organizátor neposkytoval slevy nikomu; a to naším cílem určitě není. Tudíž nezbývá, než se pokusit v takovýchto případech s organizátorem trpělivě vyjednávat.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A nyní se pojďme poohlédnout po odkazu odstavce 5, tedy po dalších právních předpisech.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</w:pPr>
      <w:r w:rsidRPr="00A5436D"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  <w:t>Zákon o daních z příjmů</w:t>
      </w:r>
    </w:p>
    <w:p w:rsidR="00A5436D" w:rsidRPr="00A5436D" w:rsidRDefault="00A5436D" w:rsidP="00AA0428">
      <w:pPr>
        <w:widowControl/>
        <w:numPr>
          <w:ilvl w:val="0"/>
          <w:numId w:val="5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Nejdříve § 35ba odst. 1 písm. b) umožňuje slevu na manžela/manželku poplatníka, který nemá vlastní příjem přesahující částku 68 000. Tato sleva činí běžně 24 840 Kč, ovšem je-li manžel nebo manželka držitelem průkazu ZTP/P, zvyšuje se sleva na dvojnásobek.</w:t>
      </w:r>
    </w:p>
    <w:p w:rsidR="00A5436D" w:rsidRPr="00A5436D" w:rsidRDefault="00A5436D" w:rsidP="00AA0428">
      <w:pPr>
        <w:widowControl/>
        <w:numPr>
          <w:ilvl w:val="0"/>
          <w:numId w:val="5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Podle ustanovení § 35ba odst. 1 písm. e) pak sleva na dani pro držitele průkazu ZTP/P činí 16 140 Kč.</w:t>
      </w:r>
    </w:p>
    <w:p w:rsidR="00A5436D" w:rsidRPr="00A5436D" w:rsidRDefault="00A5436D" w:rsidP="00AA0428">
      <w:pPr>
        <w:widowControl/>
        <w:numPr>
          <w:ilvl w:val="0"/>
          <w:numId w:val="5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Daňové zvýhodnění na dítě/děti podle § 35c se zdvojnásobuje, je-li dítě držitelem průkazu ZTP/P. Zde jen upozorňuji na limit čerpání tohoto zvýhodnění v podobě bonusu, ve výši 60 300 Kč. O bonusu mluvíme tehdy, přesáhne-li sleva na dani výši vypočtené daně, takže místo aby poplatník z příjmu daň platil, dostane určitou částku od státu. Touto formou lze uplatňovat právě jen daňové zvýhodnění na dítě.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</w:pPr>
      <w:r w:rsidRPr="00A5436D"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  <w:t>Zákon o místních poplatcích</w:t>
      </w:r>
    </w:p>
    <w:p w:rsidR="00A5436D" w:rsidRPr="00A5436D" w:rsidRDefault="00A5436D" w:rsidP="00AA0428">
      <w:pPr>
        <w:widowControl/>
        <w:numPr>
          <w:ilvl w:val="0"/>
          <w:numId w:val="6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bookmarkStart w:id="2" w:name="_GoBack"/>
      <w:bookmarkEnd w:id="2"/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Od poplatku ze psů je osvobozen držitel psa, kterým je osoba nevidomá, bezmocná a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osoba s těžkým zdravotním postižením, která je držitelem průkazu ZTP/P, osoba provádějící výcvik psů určených k doprovodu těchto osob.</w:t>
      </w:r>
    </w:p>
    <w:p w:rsidR="00A5436D" w:rsidRPr="00A5436D" w:rsidRDefault="00A5436D" w:rsidP="00AA0428">
      <w:pPr>
        <w:widowControl/>
        <w:numPr>
          <w:ilvl w:val="0"/>
          <w:numId w:val="6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Poplatku za lázeňský nebo rekreační pobyt nepodléhají osoby s těžkým zdravotním postižením, které jsou držiteli průkazu ZTP/P) a jejich průvodci.</w:t>
      </w:r>
    </w:p>
    <w:p w:rsidR="00A5436D" w:rsidRPr="00A5436D" w:rsidRDefault="00A5436D" w:rsidP="00AA0428">
      <w:pPr>
        <w:widowControl/>
        <w:numPr>
          <w:ilvl w:val="0"/>
          <w:numId w:val="6"/>
        </w:numPr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Poplatek za povolení k vjezdu s motorovým vozidlem) do vybraných míst a částí měst neplatí osoby, které jsou držiteli průkazu ZTP a jejich průvodci.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</w:pPr>
      <w:r w:rsidRPr="00A5436D">
        <w:rPr>
          <w:rFonts w:ascii="Times New Roman" w:hAnsi="Times New Roman" w:cs="Times New Roman"/>
          <w:b/>
          <w:bCs/>
          <w:noProof w:val="0"/>
          <w:color w:val="auto"/>
          <w:kern w:val="0"/>
          <w:sz w:val="27"/>
          <w:szCs w:val="27"/>
          <w:lang w:eastAsia="cs-CZ"/>
        </w:rPr>
        <w:t>Zákon o rozhlasových a televizních poplatcích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„Od obou poplatků jsou osvobozeny osoby s úplnou nebo praktickou slepotou obou očí a</w:t>
      </w:r>
      <w:r w:rsidR="00AA0428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osoby s oboustrannou úplnou nebo praktickou hluchotou, pokud jsou osaměle žijící; osvobozeny jsou tyto osoby rovněž v případě, kdy žijí společně v jedné domácnosti.“ V tomto předpise tedy není průkaz explicitně uveden, ale dle našich zkušeností lze právě zákonem uváděnou úplnou nebo praktickou slepotu obou očí průkazem ZTP/P opatřeným příslušným piktogramem bezproblémově doložit.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S dalšími položkami seznamu zákonných i právními předpisy nezakotvených benefitů plynoucích z průkazu osoby se zdravotním postižením budeme pokračovat v článku příští měsíc.</w:t>
      </w:r>
    </w:p>
    <w:p w:rsidR="00A5436D" w:rsidRPr="00A5436D" w:rsidRDefault="00A5436D" w:rsidP="00AA0428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 </w:t>
      </w:r>
    </w:p>
    <w:p w:rsidR="000A1F27" w:rsidRPr="00A5436D" w:rsidRDefault="00A5436D" w:rsidP="005B7E1A">
      <w:pPr>
        <w:widowControl/>
        <w:tabs>
          <w:tab w:val="clear" w:pos="1700"/>
          <w:tab w:val="clear" w:pos="2267"/>
          <w:tab w:val="clear" w:pos="3401"/>
        </w:tabs>
        <w:overflowPunct/>
        <w:autoSpaceDE/>
        <w:autoSpaceDN/>
        <w:adjustRightInd/>
        <w:spacing w:before="100" w:beforeAutospacing="1" w:after="100" w:afterAutospacing="1" w:line="240" w:lineRule="auto"/>
        <w:ind w:firstLine="0"/>
      </w:pPr>
      <w:r w:rsidRPr="00A5436D">
        <w:rPr>
          <w:rFonts w:ascii="Times New Roman" w:hAnsi="Times New Roman" w:cs="Times New Roman"/>
          <w:noProof w:val="0"/>
          <w:color w:val="auto"/>
          <w:kern w:val="0"/>
          <w:sz w:val="24"/>
          <w:szCs w:val="24"/>
          <w:lang w:eastAsia="cs-CZ"/>
        </w:rPr>
        <w:t>Luboš Zajíc</w:t>
      </w:r>
    </w:p>
    <w:sectPr w:rsidR="000A1F27" w:rsidRPr="00A5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Biolinum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973"/>
    <w:multiLevelType w:val="multilevel"/>
    <w:tmpl w:val="660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920CF"/>
    <w:multiLevelType w:val="multilevel"/>
    <w:tmpl w:val="CCB4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133A9"/>
    <w:multiLevelType w:val="multilevel"/>
    <w:tmpl w:val="45DA0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643D1"/>
    <w:multiLevelType w:val="multilevel"/>
    <w:tmpl w:val="E0B2C2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D5DC0"/>
    <w:multiLevelType w:val="multilevel"/>
    <w:tmpl w:val="C83AE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27127"/>
    <w:multiLevelType w:val="multilevel"/>
    <w:tmpl w:val="76B0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C1EB2"/>
    <w:multiLevelType w:val="multilevel"/>
    <w:tmpl w:val="9FD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80B93"/>
    <w:multiLevelType w:val="multilevel"/>
    <w:tmpl w:val="5F9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91456"/>
    <w:multiLevelType w:val="multilevel"/>
    <w:tmpl w:val="D758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19"/>
    <w:rsid w:val="000A1F27"/>
    <w:rsid w:val="000B34EC"/>
    <w:rsid w:val="002E1619"/>
    <w:rsid w:val="005B7E1A"/>
    <w:rsid w:val="008B7B33"/>
    <w:rsid w:val="009176D1"/>
    <w:rsid w:val="00A5436D"/>
    <w:rsid w:val="00AA0428"/>
    <w:rsid w:val="00BD3190"/>
    <w:rsid w:val="00E1400B"/>
    <w:rsid w:val="00F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spacing w:line="400" w:lineRule="exact"/>
      <w:ind w:firstLine="566"/>
      <w:jc w:val="both"/>
    </w:pPr>
    <w:rPr>
      <w:rFonts w:ascii="Linux Biolinum" w:hAnsi="Linux Biolinum" w:cs="Linux Biolinum"/>
      <w:noProof/>
      <w:color w:val="000000"/>
      <w:kern w:val="28"/>
      <w:sz w:val="30"/>
      <w:szCs w:val="30"/>
    </w:rPr>
  </w:style>
  <w:style w:type="paragraph" w:styleId="Nadpis1">
    <w:name w:val="heading 1"/>
    <w:basedOn w:val="Normln"/>
    <w:next w:val="Normln"/>
    <w:link w:val="Nadpis1Char"/>
    <w:uiPriority w:val="9"/>
    <w:qFormat/>
    <w:rsid w:val="00BD3190"/>
    <w:pPr>
      <w:tabs>
        <w:tab w:val="clear" w:pos="1700"/>
        <w:tab w:val="clear" w:pos="2267"/>
        <w:tab w:val="clear" w:pos="3401"/>
      </w:tabs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noProof w:val="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D3190"/>
    <w:pPr>
      <w:tabs>
        <w:tab w:val="clear" w:pos="1700"/>
        <w:tab w:val="clear" w:pos="2267"/>
        <w:tab w:val="clear" w:pos="3401"/>
      </w:tabs>
      <w:ind w:firstLine="0"/>
      <w:jc w:val="center"/>
      <w:outlineLvl w:val="1"/>
    </w:pPr>
    <w:rPr>
      <w:rFonts w:ascii="Cambria" w:hAnsi="Cambria" w:cs="Times New Roman"/>
      <w:b/>
      <w:bCs/>
      <w:i/>
      <w:iCs/>
      <w:noProof w:val="0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noProof/>
      <w:color w:val="243564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D3190"/>
    <w:rPr>
      <w:rFonts w:ascii="Cambria" w:hAnsi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3190"/>
    <w:rPr>
      <w:rFonts w:ascii="Cambria" w:hAnsi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3190"/>
    <w:rPr>
      <w:rFonts w:ascii="Arial Black" w:hAnsi="Arial Black" w:cs="Arial Black"/>
      <w:noProof/>
      <w:color w:val="243564"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styleId="Zvraznn">
    <w:name w:val="Emphasis"/>
    <w:basedOn w:val="Standardnpsmoodstavce"/>
    <w:uiPriority w:val="20"/>
    <w:qFormat/>
    <w:rsid w:val="00BD3190"/>
    <w:rPr>
      <w:i/>
      <w:iCs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ind w:firstLine="566"/>
      <w:jc w:val="both"/>
    </w:pPr>
    <w:rPr>
      <w:rFonts w:ascii="Linux Biolinum" w:hAnsi="Linux Biolinum" w:cs="Linux Biolinum"/>
      <w:color w:val="000000"/>
      <w:kern w:val="28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5436D"/>
    <w:pPr>
      <w:widowControl/>
      <w:tabs>
        <w:tab w:val="clear" w:pos="1700"/>
        <w:tab w:val="clear" w:pos="2267"/>
        <w:tab w:val="clear" w:pos="3401"/>
      </w:tabs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noProof w:val="0"/>
      <w:color w:val="auto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436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spacing w:line="400" w:lineRule="exact"/>
      <w:ind w:firstLine="566"/>
      <w:jc w:val="both"/>
    </w:pPr>
    <w:rPr>
      <w:rFonts w:ascii="Linux Biolinum" w:hAnsi="Linux Biolinum" w:cs="Linux Biolinum"/>
      <w:noProof/>
      <w:color w:val="000000"/>
      <w:kern w:val="28"/>
      <w:sz w:val="30"/>
      <w:szCs w:val="30"/>
    </w:rPr>
  </w:style>
  <w:style w:type="paragraph" w:styleId="Nadpis1">
    <w:name w:val="heading 1"/>
    <w:basedOn w:val="Normln"/>
    <w:next w:val="Normln"/>
    <w:link w:val="Nadpis1Char"/>
    <w:uiPriority w:val="9"/>
    <w:qFormat/>
    <w:rsid w:val="00BD3190"/>
    <w:pPr>
      <w:tabs>
        <w:tab w:val="clear" w:pos="1700"/>
        <w:tab w:val="clear" w:pos="2267"/>
        <w:tab w:val="clear" w:pos="3401"/>
      </w:tabs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noProof w:val="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D3190"/>
    <w:pPr>
      <w:tabs>
        <w:tab w:val="clear" w:pos="1700"/>
        <w:tab w:val="clear" w:pos="2267"/>
        <w:tab w:val="clear" w:pos="3401"/>
      </w:tabs>
      <w:ind w:firstLine="0"/>
      <w:jc w:val="center"/>
      <w:outlineLvl w:val="1"/>
    </w:pPr>
    <w:rPr>
      <w:rFonts w:ascii="Cambria" w:hAnsi="Cambria" w:cs="Times New Roman"/>
      <w:b/>
      <w:bCs/>
      <w:i/>
      <w:iCs/>
      <w:noProof w:val="0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noProof/>
      <w:color w:val="243564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D3190"/>
    <w:rPr>
      <w:rFonts w:ascii="Cambria" w:hAnsi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3190"/>
    <w:rPr>
      <w:rFonts w:ascii="Cambria" w:hAnsi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3190"/>
    <w:rPr>
      <w:rFonts w:ascii="Arial Black" w:hAnsi="Arial Black" w:cs="Arial Black"/>
      <w:noProof/>
      <w:color w:val="243564"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styleId="Zvraznn">
    <w:name w:val="Emphasis"/>
    <w:basedOn w:val="Standardnpsmoodstavce"/>
    <w:uiPriority w:val="20"/>
    <w:qFormat/>
    <w:rsid w:val="00BD3190"/>
    <w:rPr>
      <w:i/>
      <w:iCs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ind w:firstLine="566"/>
      <w:jc w:val="both"/>
    </w:pPr>
    <w:rPr>
      <w:rFonts w:ascii="Linux Biolinum" w:hAnsi="Linux Biolinum" w:cs="Linux Biolinum"/>
      <w:color w:val="000000"/>
      <w:kern w:val="28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5436D"/>
    <w:pPr>
      <w:widowControl/>
      <w:tabs>
        <w:tab w:val="clear" w:pos="1700"/>
        <w:tab w:val="clear" w:pos="2267"/>
        <w:tab w:val="clear" w:pos="3401"/>
      </w:tabs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noProof w:val="0"/>
      <w:color w:val="auto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436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ninoviny.cz/rubriky/informace/pozor-velky-seznam-vyhod-drzitele-prukazu-ztp-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1339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Informace a odpovědi na dotazy ze Sociálně právní poradny SONS v Praze 03/2018</vt:lpstr>
      <vt:lpstr>    Kdo a dokdy musí podat daňové přiznání?</vt:lpstr>
      <vt:lpstr>    Výhody plynoucí z průkazu osoby se zdravotním postižením – 1. část</vt:lpstr>
      <vt:lpstr>        Zákon o daních z příjmů</vt:lpstr>
      <vt:lpstr>        Zákon o místních poplatcích</vt:lpstr>
      <vt:lpstr>        Zákon o rozhlasových a televizních poplatcích</vt:lpstr>
    </vt:vector>
  </TitlesOfParts>
  <Company>Hewlett-Packard Company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Petr Jasinský</cp:lastModifiedBy>
  <cp:revision>3</cp:revision>
  <dcterms:created xsi:type="dcterms:W3CDTF">2018-03-02T11:45:00Z</dcterms:created>
  <dcterms:modified xsi:type="dcterms:W3CDTF">2018-08-07T09:02:00Z</dcterms:modified>
</cp:coreProperties>
</file>