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5546C1" w:rsidRPr="00E53F2F">
        <w:rPr>
          <w:rFonts w:ascii="Times New Roman" w:hAnsi="Times New Roman" w:cs="Times New Roman"/>
          <w:b/>
          <w:bCs/>
          <w:color w:val="00000A"/>
          <w:sz w:val="48"/>
          <w:szCs w:val="48"/>
          <w:lang w:eastAsia="cs-CZ"/>
        </w:rPr>
        <w:t>0</w:t>
      </w:r>
      <w:r w:rsidR="005C2C1E">
        <w:rPr>
          <w:rFonts w:ascii="Times New Roman" w:hAnsi="Times New Roman" w:cs="Times New Roman"/>
          <w:b/>
          <w:bCs/>
          <w:color w:val="00000A"/>
          <w:sz w:val="48"/>
          <w:szCs w:val="48"/>
          <w:lang w:eastAsia="cs-CZ"/>
        </w:rPr>
        <w:t>9</w:t>
      </w:r>
      <w:r w:rsidR="005546C1" w:rsidRPr="00E53F2F">
        <w:rPr>
          <w:rFonts w:ascii="Times New Roman" w:hAnsi="Times New Roman" w:cs="Times New Roman"/>
          <w:b/>
          <w:bCs/>
          <w:color w:val="00000A"/>
          <w:sz w:val="48"/>
          <w:szCs w:val="48"/>
          <w:lang w:eastAsia="cs-CZ"/>
        </w:rPr>
        <w:t>/2019</w:t>
      </w:r>
    </w:p>
    <w:p w:rsidR="005C2C1E" w:rsidRPr="005C2C1E" w:rsidRDefault="005C2C1E" w:rsidP="005C2C1E">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C2C1E">
        <w:rPr>
          <w:rFonts w:ascii="Times New Roman" w:hAnsi="Times New Roman" w:cs="Times New Roman"/>
          <w:color w:val="00000A"/>
          <w:sz w:val="24"/>
          <w:szCs w:val="24"/>
          <w:lang w:eastAsia="cs-CZ"/>
        </w:rPr>
        <w:t>Dnes jsem se rozhodl věnovat článek situaci, ve které by se jistě nikdo z nás dobrovolně nechtěl ocitnout, nicméně ze zkušenosti v poradně vím, že se bohužel týká i nejedné osoby z</w:t>
      </w:r>
      <w:r>
        <w:rPr>
          <w:rFonts w:ascii="Times New Roman" w:hAnsi="Times New Roman" w:cs="Times New Roman"/>
          <w:color w:val="00000A"/>
          <w:sz w:val="24"/>
          <w:szCs w:val="24"/>
          <w:lang w:eastAsia="cs-CZ"/>
        </w:rPr>
        <w:t> </w:t>
      </w:r>
      <w:r w:rsidRPr="005C2C1E">
        <w:rPr>
          <w:rFonts w:ascii="Times New Roman" w:hAnsi="Times New Roman" w:cs="Times New Roman"/>
          <w:color w:val="00000A"/>
          <w:sz w:val="24"/>
          <w:szCs w:val="24"/>
          <w:lang w:eastAsia="cs-CZ"/>
        </w:rPr>
        <w:t xml:space="preserve">našich řad; jde o </w:t>
      </w:r>
      <w:r w:rsidRPr="004F2A6C">
        <w:rPr>
          <w:rFonts w:ascii="Times New Roman" w:hAnsi="Times New Roman" w:cs="Times New Roman"/>
          <w:b/>
          <w:color w:val="00000A"/>
          <w:sz w:val="24"/>
          <w:szCs w:val="24"/>
          <w:lang w:eastAsia="cs-CZ"/>
        </w:rPr>
        <w:t>exekuční vymáhání povinnosti, kterou „povinný“</w:t>
      </w:r>
      <w:r w:rsidR="004F2A6C" w:rsidRPr="005C2C1E">
        <w:rPr>
          <w:rFonts w:ascii="Times New Roman" w:hAnsi="Times New Roman" w:cs="Times New Roman"/>
          <w:color w:val="00000A"/>
          <w:sz w:val="24"/>
          <w:szCs w:val="24"/>
          <w:lang w:eastAsia="cs-CZ"/>
        </w:rPr>
        <w:t xml:space="preserve"> </w:t>
      </w:r>
      <w:r w:rsidR="004F2A6C" w:rsidRPr="004F2A6C">
        <w:rPr>
          <w:rFonts w:ascii="Times New Roman" w:hAnsi="Times New Roman" w:cs="Times New Roman"/>
          <w:b/>
          <w:color w:val="00000A"/>
          <w:sz w:val="24"/>
          <w:szCs w:val="24"/>
          <w:lang w:eastAsia="cs-CZ"/>
        </w:rPr>
        <w:t>nesplnil</w:t>
      </w:r>
      <w:r w:rsidRPr="005C2C1E">
        <w:rPr>
          <w:rFonts w:ascii="Times New Roman" w:hAnsi="Times New Roman" w:cs="Times New Roman"/>
          <w:color w:val="00000A"/>
          <w:sz w:val="24"/>
          <w:szCs w:val="24"/>
          <w:lang w:eastAsia="cs-CZ"/>
        </w:rPr>
        <w:t xml:space="preserve"> </w:t>
      </w:r>
      <w:r w:rsidRPr="002E5472">
        <w:rPr>
          <w:rFonts w:ascii="Times New Roman" w:hAnsi="Times New Roman" w:cs="Times New Roman"/>
          <w:i/>
          <w:color w:val="00000A"/>
          <w:sz w:val="24"/>
          <w:szCs w:val="24"/>
          <w:lang w:eastAsia="cs-CZ"/>
        </w:rPr>
        <w:t>(</w:t>
      </w:r>
      <w:r w:rsidR="002E5472" w:rsidRPr="002E5472">
        <w:rPr>
          <w:rFonts w:ascii="Times New Roman" w:hAnsi="Times New Roman" w:cs="Times New Roman"/>
          <w:color w:val="00000A"/>
          <w:sz w:val="24"/>
          <w:szCs w:val="24"/>
          <w:u w:val="single"/>
          <w:lang w:eastAsia="cs-CZ"/>
        </w:rPr>
        <w:t>povinným</w:t>
      </w:r>
      <w:r w:rsidR="002E5472" w:rsidRPr="002E5472">
        <w:rPr>
          <w:rFonts w:ascii="Times New Roman" w:hAnsi="Times New Roman" w:cs="Times New Roman"/>
          <w:i/>
          <w:color w:val="00000A"/>
          <w:sz w:val="24"/>
          <w:szCs w:val="24"/>
          <w:lang w:eastAsia="cs-CZ"/>
        </w:rPr>
        <w:t xml:space="preserve"> </w:t>
      </w:r>
      <w:r w:rsidRPr="002E5472">
        <w:rPr>
          <w:rFonts w:ascii="Times New Roman" w:hAnsi="Times New Roman" w:cs="Times New Roman"/>
          <w:i/>
          <w:color w:val="00000A"/>
          <w:sz w:val="24"/>
          <w:szCs w:val="24"/>
          <w:lang w:eastAsia="cs-CZ"/>
        </w:rPr>
        <w:t>se člověk, proti němuž je exekuce vedena, nazývá)</w:t>
      </w:r>
      <w:r w:rsidRPr="004F2A6C">
        <w:rPr>
          <w:rFonts w:ascii="Times New Roman" w:hAnsi="Times New Roman" w:cs="Times New Roman"/>
          <w:b/>
          <w:color w:val="00000A"/>
          <w:sz w:val="24"/>
          <w:szCs w:val="24"/>
          <w:lang w:eastAsia="cs-CZ"/>
        </w:rPr>
        <w:t xml:space="preserve"> a</w:t>
      </w:r>
      <w:r w:rsidRPr="005C2C1E">
        <w:rPr>
          <w:rFonts w:ascii="Times New Roman" w:hAnsi="Times New Roman" w:cs="Times New Roman"/>
          <w:color w:val="00000A"/>
          <w:sz w:val="24"/>
          <w:szCs w:val="24"/>
          <w:lang w:eastAsia="cs-CZ"/>
        </w:rPr>
        <w:t xml:space="preserve"> </w:t>
      </w:r>
      <w:r w:rsidRPr="004F2A6C">
        <w:rPr>
          <w:rFonts w:ascii="Times New Roman" w:hAnsi="Times New Roman" w:cs="Times New Roman"/>
          <w:b/>
          <w:color w:val="00000A"/>
          <w:sz w:val="24"/>
          <w:szCs w:val="24"/>
          <w:lang w:eastAsia="cs-CZ"/>
        </w:rPr>
        <w:t>nyní je plnění oprávněným</w:t>
      </w:r>
      <w:r w:rsidR="004F2A6C">
        <w:rPr>
          <w:rFonts w:ascii="Times New Roman" w:hAnsi="Times New Roman" w:cs="Times New Roman"/>
          <w:b/>
          <w:color w:val="00000A"/>
          <w:sz w:val="24"/>
          <w:szCs w:val="24"/>
          <w:lang w:eastAsia="cs-CZ"/>
        </w:rPr>
        <w:t xml:space="preserve"> </w:t>
      </w:r>
      <w:r w:rsidR="004F2A6C" w:rsidRPr="004F2A6C">
        <w:rPr>
          <w:rFonts w:ascii="Times New Roman" w:hAnsi="Times New Roman" w:cs="Times New Roman"/>
          <w:b/>
          <w:color w:val="00000A"/>
          <w:sz w:val="24"/>
          <w:szCs w:val="24"/>
          <w:lang w:eastAsia="cs-CZ"/>
        </w:rPr>
        <w:t>vymáháno</w:t>
      </w:r>
      <w:r w:rsidRPr="005C2C1E">
        <w:rPr>
          <w:rFonts w:ascii="Times New Roman" w:hAnsi="Times New Roman" w:cs="Times New Roman"/>
          <w:color w:val="00000A"/>
          <w:sz w:val="24"/>
          <w:szCs w:val="24"/>
          <w:lang w:eastAsia="cs-CZ"/>
        </w:rPr>
        <w:t xml:space="preserve"> </w:t>
      </w:r>
      <w:r w:rsidRPr="002E5472">
        <w:rPr>
          <w:rFonts w:ascii="Times New Roman" w:hAnsi="Times New Roman" w:cs="Times New Roman"/>
          <w:i/>
          <w:color w:val="00000A"/>
          <w:sz w:val="24"/>
          <w:szCs w:val="24"/>
          <w:lang w:eastAsia="cs-CZ"/>
        </w:rPr>
        <w:t>(</w:t>
      </w:r>
      <w:r w:rsidR="002E5472" w:rsidRPr="002E5472">
        <w:rPr>
          <w:rFonts w:ascii="Times New Roman" w:hAnsi="Times New Roman" w:cs="Times New Roman"/>
          <w:i/>
          <w:color w:val="00000A"/>
          <w:sz w:val="24"/>
          <w:szCs w:val="24"/>
          <w:u w:val="single"/>
          <w:lang w:eastAsia="cs-CZ"/>
        </w:rPr>
        <w:t>oprávněný</w:t>
      </w:r>
      <w:r w:rsidR="002E5472" w:rsidRPr="002E5472">
        <w:rPr>
          <w:rFonts w:ascii="Times New Roman" w:hAnsi="Times New Roman" w:cs="Times New Roman"/>
          <w:i/>
          <w:color w:val="00000A"/>
          <w:sz w:val="24"/>
          <w:szCs w:val="24"/>
          <w:lang w:eastAsia="cs-CZ"/>
        </w:rPr>
        <w:t xml:space="preserve"> </w:t>
      </w:r>
      <w:r w:rsidRPr="002E5472">
        <w:rPr>
          <w:rFonts w:ascii="Times New Roman" w:hAnsi="Times New Roman" w:cs="Times New Roman"/>
          <w:i/>
          <w:color w:val="00000A"/>
          <w:sz w:val="24"/>
          <w:szCs w:val="24"/>
          <w:lang w:eastAsia="cs-CZ"/>
        </w:rPr>
        <w:t>je pochopitelně oz</w:t>
      </w:r>
      <w:r w:rsidR="004F2A6C" w:rsidRPr="002E5472">
        <w:rPr>
          <w:rFonts w:ascii="Times New Roman" w:hAnsi="Times New Roman" w:cs="Times New Roman"/>
          <w:i/>
          <w:color w:val="00000A"/>
          <w:sz w:val="24"/>
          <w:szCs w:val="24"/>
          <w:lang w:eastAsia="cs-CZ"/>
        </w:rPr>
        <w:t>načení pro navrhovatele exekuce)</w:t>
      </w:r>
      <w:r w:rsidRPr="005C2C1E">
        <w:rPr>
          <w:rFonts w:ascii="Times New Roman" w:hAnsi="Times New Roman" w:cs="Times New Roman"/>
          <w:color w:val="00000A"/>
          <w:sz w:val="24"/>
          <w:szCs w:val="24"/>
          <w:lang w:eastAsia="cs-CZ"/>
        </w:rPr>
        <w:t>. Konkrétně půjde o vymáhání formou přikázání pohledávky a zejména srážek ze mzdy a jiných příjmů a dozvíte se, kolik musí zbýt povinnému z důchodu, z něhož jsou exekuční částky sráženy.</w:t>
      </w:r>
    </w:p>
    <w:p w:rsidR="005C2C1E" w:rsidRDefault="005C2C1E" w:rsidP="0071291E">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C2C1E">
        <w:rPr>
          <w:rFonts w:ascii="Times New Roman" w:hAnsi="Times New Roman" w:cs="Times New Roman"/>
          <w:color w:val="00000A"/>
          <w:sz w:val="24"/>
          <w:szCs w:val="24"/>
          <w:lang w:eastAsia="cs-CZ"/>
        </w:rPr>
        <w:t>Splnění soudem pravomocně uznaného dluhu lze vymáhat buď výkonem soudního rozhodnutí, ale mnohem častěji je vymáháno pomocí soudních exekutorů. Exekuci lze provádět různými způsoby, podstatné je, jaká povinnost je vymáhána. Velmi často jde o</w:t>
      </w:r>
      <w:r>
        <w:rPr>
          <w:rFonts w:ascii="Times New Roman" w:hAnsi="Times New Roman" w:cs="Times New Roman"/>
          <w:color w:val="00000A"/>
          <w:sz w:val="24"/>
          <w:szCs w:val="24"/>
          <w:lang w:eastAsia="cs-CZ"/>
        </w:rPr>
        <w:t> </w:t>
      </w:r>
      <w:r w:rsidRPr="005C2C1E">
        <w:rPr>
          <w:rFonts w:ascii="Times New Roman" w:hAnsi="Times New Roman" w:cs="Times New Roman"/>
          <w:color w:val="00000A"/>
          <w:sz w:val="24"/>
          <w:szCs w:val="24"/>
          <w:lang w:eastAsia="cs-CZ"/>
        </w:rPr>
        <w:t>povinnost spočívající v zaplacení peněžní částky a tuto p</w:t>
      </w:r>
      <w:r>
        <w:rPr>
          <w:rFonts w:ascii="Times New Roman" w:hAnsi="Times New Roman" w:cs="Times New Roman"/>
          <w:color w:val="00000A"/>
          <w:sz w:val="24"/>
          <w:szCs w:val="24"/>
          <w:lang w:eastAsia="cs-CZ"/>
        </w:rPr>
        <w:t>ovinnost lze podle ustanovení § </w:t>
      </w:r>
      <w:r w:rsidRPr="005C2C1E">
        <w:rPr>
          <w:rFonts w:ascii="Times New Roman" w:hAnsi="Times New Roman" w:cs="Times New Roman"/>
          <w:color w:val="00000A"/>
          <w:sz w:val="24"/>
          <w:szCs w:val="24"/>
          <w:lang w:eastAsia="cs-CZ"/>
        </w:rPr>
        <w:t>59 e</w:t>
      </w:r>
      <w:r>
        <w:rPr>
          <w:rFonts w:ascii="Times New Roman" w:hAnsi="Times New Roman" w:cs="Times New Roman"/>
          <w:color w:val="00000A"/>
          <w:sz w:val="24"/>
          <w:szCs w:val="24"/>
          <w:lang w:eastAsia="cs-CZ"/>
        </w:rPr>
        <w:t>xekučního řádu (zákona 120/2001 </w:t>
      </w:r>
      <w:r w:rsidRPr="005C2C1E">
        <w:rPr>
          <w:rFonts w:ascii="Times New Roman" w:hAnsi="Times New Roman" w:cs="Times New Roman"/>
          <w:color w:val="00000A"/>
          <w:sz w:val="24"/>
          <w:szCs w:val="24"/>
          <w:lang w:eastAsia="cs-CZ"/>
        </w:rPr>
        <w:t>Sb.</w:t>
      </w:r>
      <w:r w:rsidR="002557C7">
        <w:rPr>
          <w:rFonts w:ascii="Times New Roman" w:hAnsi="Times New Roman" w:cs="Times New Roman"/>
          <w:color w:val="00000A"/>
          <w:sz w:val="24"/>
          <w:szCs w:val="24"/>
          <w:lang w:eastAsia="cs-CZ"/>
        </w:rPr>
        <w:t>)</w:t>
      </w:r>
      <w:r w:rsidRPr="005C2C1E">
        <w:rPr>
          <w:rFonts w:ascii="Times New Roman" w:hAnsi="Times New Roman" w:cs="Times New Roman"/>
          <w:color w:val="00000A"/>
          <w:sz w:val="24"/>
          <w:szCs w:val="24"/>
          <w:lang w:eastAsia="cs-CZ"/>
        </w:rPr>
        <w:t>, provádět těmito způsoby:</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srážkami ze mzdy a jiných příjmů,</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přikázáním pohledávky,</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prodejem movitých věcí a nemovitých věcí,</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postižením závodu,</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správou nemovité věci,</w:t>
      </w:r>
    </w:p>
    <w:p w:rsidR="00B76100" w:rsidRPr="00B76100" w:rsidRDefault="00B76100" w:rsidP="005C0C87">
      <w:pPr>
        <w:pStyle w:val="Odstavecseseznamem"/>
        <w:widowControl/>
        <w:numPr>
          <w:ilvl w:val="0"/>
          <w:numId w:val="15"/>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pozastavením řidičského oprávnění.“</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Většinu z výše uvedených způsobů si asi umíme představit, snad jen u písmene b) vyložím, že jde nejčastěji o příkaz peněžnímu ústavu (typicky bance), aby prostředky uložené na bankovním účtu povinného odeslal exekutorovi. A je třeba uvést, že se nemusí jednat jen o</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účet povinného, že je možné zabavit i prostředky z účtu manžela povinného. Každý z</w:t>
      </w:r>
      <w:r w:rsidR="0027453E">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uvedených způsobů má určitá pravidla, zde snad uvedu jedno pro exekuovanou osobu dosti zásadní, že je-li doručen bance exekuční</w:t>
      </w:r>
      <w:r>
        <w:rPr>
          <w:rFonts w:ascii="Times New Roman" w:hAnsi="Times New Roman" w:cs="Times New Roman"/>
          <w:color w:val="00000A"/>
          <w:sz w:val="24"/>
          <w:szCs w:val="24"/>
          <w:lang w:eastAsia="cs-CZ"/>
        </w:rPr>
        <w:t xml:space="preserve"> příkaz, nesmí dle ustanovení § </w:t>
      </w:r>
      <w:r w:rsidRPr="00B76100">
        <w:rPr>
          <w:rFonts w:ascii="Times New Roman" w:hAnsi="Times New Roman" w:cs="Times New Roman"/>
          <w:color w:val="00000A"/>
          <w:sz w:val="24"/>
          <w:szCs w:val="24"/>
          <w:lang w:eastAsia="cs-CZ"/>
        </w:rPr>
        <w:t xml:space="preserve">304b </w:t>
      </w:r>
      <w:r>
        <w:rPr>
          <w:rFonts w:ascii="Times New Roman" w:hAnsi="Times New Roman" w:cs="Times New Roman"/>
          <w:color w:val="00000A"/>
          <w:sz w:val="24"/>
          <w:szCs w:val="24"/>
          <w:lang w:eastAsia="cs-CZ"/>
        </w:rPr>
        <w:t>občanského soudního řádu (z. </w:t>
      </w:r>
      <w:proofErr w:type="gramStart"/>
      <w:r>
        <w:rPr>
          <w:rFonts w:ascii="Times New Roman" w:hAnsi="Times New Roman" w:cs="Times New Roman"/>
          <w:color w:val="00000A"/>
          <w:sz w:val="24"/>
          <w:szCs w:val="24"/>
          <w:lang w:eastAsia="cs-CZ"/>
        </w:rPr>
        <w:t>č.</w:t>
      </w:r>
      <w:proofErr w:type="gramEnd"/>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99/1963</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Sb., ve znění pozdějších předpisů), zablokovat a později exekutorovi odeslat všechny prostředky z účtu, pro povinného musí zůstat částka ve výši dvojnásobku životního minima jednotlivce, tedy pro samostatně posuzovanou osobu půjde o</w:t>
      </w:r>
      <w:r w:rsidR="0027453E">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6</w:t>
      </w:r>
      <w:r>
        <w:rPr>
          <w:rFonts w:ascii="Times New Roman" w:hAnsi="Times New Roman" w:cs="Times New Roman"/>
          <w:color w:val="00000A"/>
          <w:sz w:val="24"/>
          <w:szCs w:val="24"/>
          <w:lang w:eastAsia="cs-CZ"/>
        </w:rPr>
        <w:t>.</w:t>
      </w:r>
      <w:r w:rsidRPr="00B76100">
        <w:rPr>
          <w:rFonts w:ascii="Times New Roman" w:hAnsi="Times New Roman" w:cs="Times New Roman"/>
          <w:color w:val="00000A"/>
          <w:sz w:val="24"/>
          <w:szCs w:val="24"/>
          <w:lang w:eastAsia="cs-CZ"/>
        </w:rPr>
        <w:t>820</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 Ale platí to pouze pro jeden účet a pouze jednou, to znamená, že pokud na účet dorazí další finanční prostředky, ty už mohou být exekutorovi odeslány všechny.</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Dále je velmi důležité, že exekutor může způsoby vymáhání částky kombinovat tak, aby dosáhl co nejrychleji a nejsnadněji účelu exekuce, tedy uspokojení oprávněné osoby. Ostatně to je jedna z hlediska oprávněného (věřitele) z nejzásadnějších výhod postupu dle exekučního řádu oproti klasickému výkonu soudního rozhodnutí, že oprávněný nemusí předem označit způsob provedení exekuce, že o něm rozhoduje právě až exekutor během řízení a že tyto způsoby může různě kombinovat.</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 poněkud obecném úvodu však přistupme k hlavnímu bodu zájmu tohoto článku, a tím je výkon exekuce formou srážek ze mzdy či jiných příjmů.</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 xml:space="preserve">Představme si člověka, jehož jedinými příjmy jsou invalidní důchod pro invaliditu III. Stupně ve výši 11 000 Kč, příspěvek na péči a příspěvek na mobilitu. Tento člověk si postupně pořídil několik „super výhodných“ půjček, které nejdříve splácel, ale postupně se dostal do </w:t>
      </w:r>
      <w:r w:rsidRPr="00B76100">
        <w:rPr>
          <w:rFonts w:ascii="Times New Roman" w:hAnsi="Times New Roman" w:cs="Times New Roman"/>
          <w:color w:val="00000A"/>
          <w:sz w:val="24"/>
          <w:szCs w:val="24"/>
          <w:lang w:eastAsia="cs-CZ"/>
        </w:rPr>
        <w:lastRenderedPageBreak/>
        <w:t>dluhové pasti, tedy začal si půjčovat další půjčky na to, aby mohl splatit předchozí, až jeho dluh dosáhl celkové částk</w:t>
      </w:r>
      <w:r>
        <w:rPr>
          <w:rFonts w:ascii="Times New Roman" w:hAnsi="Times New Roman" w:cs="Times New Roman"/>
          <w:color w:val="00000A"/>
          <w:sz w:val="24"/>
          <w:szCs w:val="24"/>
          <w:lang w:eastAsia="cs-CZ"/>
        </w:rPr>
        <w:t>y 200 </w:t>
      </w:r>
      <w:r w:rsidRPr="00B76100">
        <w:rPr>
          <w:rFonts w:ascii="Times New Roman" w:hAnsi="Times New Roman" w:cs="Times New Roman"/>
          <w:color w:val="00000A"/>
          <w:sz w:val="24"/>
          <w:szCs w:val="24"/>
          <w:lang w:eastAsia="cs-CZ"/>
        </w:rPr>
        <w:t xml:space="preserve">tisíc korun. Věřitel právě této částky našemu dlužníkovi poslal </w:t>
      </w:r>
      <w:proofErr w:type="spellStart"/>
      <w:r w:rsidRPr="00B76100">
        <w:rPr>
          <w:rFonts w:ascii="Times New Roman" w:hAnsi="Times New Roman" w:cs="Times New Roman"/>
          <w:color w:val="00000A"/>
          <w:sz w:val="24"/>
          <w:szCs w:val="24"/>
          <w:lang w:eastAsia="cs-CZ"/>
        </w:rPr>
        <w:t>předžalobní</w:t>
      </w:r>
      <w:proofErr w:type="spellEnd"/>
      <w:r w:rsidRPr="00B76100">
        <w:rPr>
          <w:rFonts w:ascii="Times New Roman" w:hAnsi="Times New Roman" w:cs="Times New Roman"/>
          <w:color w:val="00000A"/>
          <w:sz w:val="24"/>
          <w:szCs w:val="24"/>
          <w:lang w:eastAsia="cs-CZ"/>
        </w:rPr>
        <w:t xml:space="preserve"> výzvu k zaplacení, na kterou dlužník nereagoval, a proto věřitel navrhl soudu, aby tento vydal platební rozkaz na zaplacení zmíněného dluhu i s příslušenstvím, tedy úroky z prodlení, které se k původní jistině začaly od okamžiku splatnosti připočítávat. Náš dlužník ani na soudní platební rozkaz nereagoval, a tak se věřitel obrátil na soudního exekutora s návrhem na exekuční vymožení částky.</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Dlužník nemá žádnou nemovitost, bydlí sám v pronajaté garsoniéře, což exekutor snadno zjistí. Stejně tak snadno zjistí příjmovou situaci dlužníka, který se návrhem na exekuci stává tzv. povinným a rozhodne se exekuci vykonat právě srážkami ze mzdy či jiných příjmů, v</w:t>
      </w:r>
      <w:r w:rsidR="0027453E">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tomto případě z invalidního důchodu. Na příspěvek na péči ani na příspěvek na mobilitu totiž exekutor sáhnout nemůže, protože jde o dávky příslušnými právními předpisy z výkonu rozhodnutí i exekuce vyloučené.</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A zde přicházíme ke klíčové otázce, kolik může exekutor měsíčně z invalidního důchodu zabavit? Každému je jasné, že zabaven nemůže být celý důchod, že povinnému musí být ponecháno něco na život, zákon mluví o nezabavitelné částce. Výši Nezabavitelné částky stanoví vláda nařízením, konkr</w:t>
      </w:r>
      <w:r>
        <w:rPr>
          <w:rFonts w:ascii="Times New Roman" w:hAnsi="Times New Roman" w:cs="Times New Roman"/>
          <w:color w:val="00000A"/>
          <w:sz w:val="24"/>
          <w:szCs w:val="24"/>
          <w:lang w:eastAsia="cs-CZ"/>
        </w:rPr>
        <w:t>étně jde o nařízení č. 595/2006 </w:t>
      </w:r>
      <w:r w:rsidRPr="00B76100">
        <w:rPr>
          <w:rFonts w:ascii="Times New Roman" w:hAnsi="Times New Roman" w:cs="Times New Roman"/>
          <w:color w:val="00000A"/>
          <w:sz w:val="24"/>
          <w:szCs w:val="24"/>
          <w:lang w:eastAsia="cs-CZ"/>
        </w:rPr>
        <w:t>Sb., ve znění pozdějších předpisů). Tato částka se rovná dvěma třetinám životního minima jednotlivce a normativním nákladům na bydlení jedné osoby. V</w:t>
      </w:r>
      <w:r>
        <w:rPr>
          <w:rFonts w:ascii="Times New Roman" w:hAnsi="Times New Roman" w:cs="Times New Roman"/>
          <w:color w:val="00000A"/>
          <w:sz w:val="24"/>
          <w:szCs w:val="24"/>
          <w:lang w:eastAsia="cs-CZ"/>
        </w:rPr>
        <w:t xml:space="preserve"> současnosti tato částka činí 6.</w:t>
      </w:r>
      <w:r w:rsidRPr="00B76100">
        <w:rPr>
          <w:rFonts w:ascii="Times New Roman" w:hAnsi="Times New Roman" w:cs="Times New Roman"/>
          <w:color w:val="00000A"/>
          <w:sz w:val="24"/>
          <w:szCs w:val="24"/>
          <w:lang w:eastAsia="cs-CZ"/>
        </w:rPr>
        <w:t>428,67</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 xml:space="preserve">Kč. Tato částka se pak zvyšuje, pokud má povinný vyživovací povinnost k další osobě, typicky tedy k manželovi či dítěti, a to na </w:t>
      </w:r>
      <w:r>
        <w:rPr>
          <w:rFonts w:ascii="Times New Roman" w:hAnsi="Times New Roman" w:cs="Times New Roman"/>
          <w:color w:val="00000A"/>
          <w:sz w:val="24"/>
          <w:szCs w:val="24"/>
          <w:lang w:eastAsia="cs-CZ"/>
        </w:rPr>
        <w:t>každou takovou osobu o částku 1.</w:t>
      </w:r>
      <w:r w:rsidRPr="00B76100">
        <w:rPr>
          <w:rFonts w:ascii="Times New Roman" w:hAnsi="Times New Roman" w:cs="Times New Roman"/>
          <w:color w:val="00000A"/>
          <w:sz w:val="24"/>
          <w:szCs w:val="24"/>
          <w:lang w:eastAsia="cs-CZ"/>
        </w:rPr>
        <w:t>607,17</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 xml:space="preserve">Již jsme si řekli, že náš </w:t>
      </w:r>
      <w:r w:rsidR="002557C7">
        <w:rPr>
          <w:rFonts w:ascii="Times New Roman" w:hAnsi="Times New Roman" w:cs="Times New Roman"/>
          <w:color w:val="00000A"/>
          <w:sz w:val="24"/>
          <w:szCs w:val="24"/>
          <w:lang w:eastAsia="cs-CZ"/>
        </w:rPr>
        <w:t>p</w:t>
      </w:r>
      <w:r w:rsidRPr="00B76100">
        <w:rPr>
          <w:rFonts w:ascii="Times New Roman" w:hAnsi="Times New Roman" w:cs="Times New Roman"/>
          <w:color w:val="00000A"/>
          <w:sz w:val="24"/>
          <w:szCs w:val="24"/>
          <w:lang w:eastAsia="cs-CZ"/>
        </w:rPr>
        <w:t>ov</w:t>
      </w:r>
      <w:r>
        <w:rPr>
          <w:rFonts w:ascii="Times New Roman" w:hAnsi="Times New Roman" w:cs="Times New Roman"/>
          <w:color w:val="00000A"/>
          <w:sz w:val="24"/>
          <w:szCs w:val="24"/>
          <w:lang w:eastAsia="cs-CZ"/>
        </w:rPr>
        <w:t>inný žije sám, z důchodu 11.000 </w:t>
      </w:r>
      <w:r w:rsidRPr="00B76100">
        <w:rPr>
          <w:rFonts w:ascii="Times New Roman" w:hAnsi="Times New Roman" w:cs="Times New Roman"/>
          <w:color w:val="00000A"/>
          <w:sz w:val="24"/>
          <w:szCs w:val="24"/>
          <w:lang w:eastAsia="cs-CZ"/>
        </w:rPr>
        <w:t>Kč tedy odečteme čá</w:t>
      </w:r>
      <w:r>
        <w:rPr>
          <w:rFonts w:ascii="Times New Roman" w:hAnsi="Times New Roman" w:cs="Times New Roman"/>
          <w:color w:val="00000A"/>
          <w:sz w:val="24"/>
          <w:szCs w:val="24"/>
          <w:lang w:eastAsia="cs-CZ"/>
        </w:rPr>
        <w:t>stku 6.428,67 a získáme číslo 4.</w:t>
      </w:r>
      <w:r w:rsidRPr="00B76100">
        <w:rPr>
          <w:rFonts w:ascii="Times New Roman" w:hAnsi="Times New Roman" w:cs="Times New Roman"/>
          <w:color w:val="00000A"/>
          <w:sz w:val="24"/>
          <w:szCs w:val="24"/>
          <w:lang w:eastAsia="cs-CZ"/>
        </w:rPr>
        <w:t>571,33, co dál?</w:t>
      </w:r>
    </w:p>
    <w:p w:rsidR="00B76100" w:rsidRPr="002557C7" w:rsidRDefault="00B76100" w:rsidP="00B76100">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B76100">
        <w:rPr>
          <w:rFonts w:ascii="Times New Roman" w:hAnsi="Times New Roman" w:cs="Times New Roman"/>
          <w:color w:val="00000A"/>
          <w:sz w:val="24"/>
          <w:szCs w:val="24"/>
          <w:lang w:eastAsia="cs-CZ"/>
        </w:rPr>
        <w:t>Další pravidla výpočtu stanov</w:t>
      </w:r>
      <w:r>
        <w:rPr>
          <w:rFonts w:ascii="Times New Roman" w:hAnsi="Times New Roman" w:cs="Times New Roman"/>
          <w:color w:val="00000A"/>
          <w:sz w:val="24"/>
          <w:szCs w:val="24"/>
          <w:lang w:eastAsia="cs-CZ"/>
        </w:rPr>
        <w:t>í § </w:t>
      </w:r>
      <w:r w:rsidRPr="00B76100">
        <w:rPr>
          <w:rFonts w:ascii="Times New Roman" w:hAnsi="Times New Roman" w:cs="Times New Roman"/>
          <w:color w:val="00000A"/>
          <w:sz w:val="24"/>
          <w:szCs w:val="24"/>
          <w:lang w:eastAsia="cs-CZ"/>
        </w:rPr>
        <w:t>279 odst. 1 občanského soudního řádu – trochu složitě, ale po jeho citaci ustanovení na příkladu jasně vysvětlíme:</w:t>
      </w:r>
      <w:r w:rsidR="002557C7">
        <w:rPr>
          <w:rFonts w:ascii="Times New Roman" w:hAnsi="Times New Roman" w:cs="Times New Roman"/>
          <w:color w:val="00000A"/>
          <w:sz w:val="24"/>
          <w:szCs w:val="24"/>
          <w:lang w:eastAsia="cs-CZ"/>
        </w:rPr>
        <w:t xml:space="preserve"> </w:t>
      </w:r>
      <w:r w:rsidRPr="002557C7">
        <w:rPr>
          <w:rFonts w:ascii="Times New Roman" w:hAnsi="Times New Roman" w:cs="Times New Roman"/>
          <w:i/>
          <w:color w:val="00000A"/>
          <w:sz w:val="24"/>
          <w:szCs w:val="24"/>
          <w:lang w:eastAsia="cs-CZ"/>
        </w:rPr>
        <w:t>„Z čisté mzdy, která zbývá po odečtení nezabavitelné částky a která se zaokrouhlí směrem dolů na částku dělitelnou třemi a</w:t>
      </w:r>
      <w:r w:rsidR="002557C7">
        <w:rPr>
          <w:rFonts w:ascii="Times New Roman" w:hAnsi="Times New Roman" w:cs="Times New Roman"/>
          <w:i/>
          <w:color w:val="00000A"/>
          <w:sz w:val="24"/>
          <w:szCs w:val="24"/>
          <w:lang w:eastAsia="cs-CZ"/>
        </w:rPr>
        <w:t> </w:t>
      </w:r>
      <w:r w:rsidRPr="002557C7">
        <w:rPr>
          <w:rFonts w:ascii="Times New Roman" w:hAnsi="Times New Roman" w:cs="Times New Roman"/>
          <w:i/>
          <w:color w:val="00000A"/>
          <w:sz w:val="24"/>
          <w:szCs w:val="24"/>
          <w:lang w:eastAsia="cs-CZ"/>
        </w:rPr>
        <w:t>vyjádřenou v celých korunách, lze srazit k vydobytí pohledávky oprávněného jen jednu třetinu. Pro přednostní pohledávky uvedené v odstavci 2 se srážejí dvě třetiny. Přednostní pohledávky se uspokojují nejprve z druhé třetiny a teprve, nestačí-li tato třetina k jejich úhradě, uspokojují se spolu s ostatními pohledávkami z první třetiny.“</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Z tohoto ustanovení plyne, že našemu povinnému nezůstane jen ono nezabavitelné minimum, tedy těch cca 6</w:t>
      </w:r>
      <w:r>
        <w:rPr>
          <w:rFonts w:ascii="Times New Roman" w:hAnsi="Times New Roman" w:cs="Times New Roman"/>
          <w:color w:val="00000A"/>
          <w:sz w:val="24"/>
          <w:szCs w:val="24"/>
          <w:lang w:eastAsia="cs-CZ"/>
        </w:rPr>
        <w:t>.</w:t>
      </w:r>
      <w:r w:rsidRPr="00B76100">
        <w:rPr>
          <w:rFonts w:ascii="Times New Roman" w:hAnsi="Times New Roman" w:cs="Times New Roman"/>
          <w:color w:val="00000A"/>
          <w:sz w:val="24"/>
          <w:szCs w:val="24"/>
          <w:lang w:eastAsia="cs-CZ"/>
        </w:rPr>
        <w:t>430</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korun, nýbrž že mu zbude přinejmenším ještě jedna třetina z částky 4</w:t>
      </w:r>
      <w:r>
        <w:rPr>
          <w:rFonts w:ascii="Times New Roman" w:hAnsi="Times New Roman" w:cs="Times New Roman"/>
          <w:color w:val="00000A"/>
          <w:sz w:val="24"/>
          <w:szCs w:val="24"/>
          <w:lang w:eastAsia="cs-CZ"/>
        </w:rPr>
        <w:t>.</w:t>
      </w:r>
      <w:r w:rsidRPr="00B76100">
        <w:rPr>
          <w:rFonts w:ascii="Times New Roman" w:hAnsi="Times New Roman" w:cs="Times New Roman"/>
          <w:color w:val="00000A"/>
          <w:sz w:val="24"/>
          <w:szCs w:val="24"/>
          <w:lang w:eastAsia="cs-CZ"/>
        </w:rPr>
        <w:t>571,33, tedy dalších 1</w:t>
      </w:r>
      <w:r>
        <w:rPr>
          <w:rFonts w:ascii="Times New Roman" w:hAnsi="Times New Roman" w:cs="Times New Roman"/>
          <w:color w:val="00000A"/>
          <w:sz w:val="24"/>
          <w:szCs w:val="24"/>
          <w:lang w:eastAsia="cs-CZ"/>
        </w:rPr>
        <w:t>.</w:t>
      </w:r>
      <w:r w:rsidRPr="00B76100">
        <w:rPr>
          <w:rFonts w:ascii="Times New Roman" w:hAnsi="Times New Roman" w:cs="Times New Roman"/>
          <w:color w:val="00000A"/>
          <w:sz w:val="24"/>
          <w:szCs w:val="24"/>
          <w:lang w:eastAsia="cs-CZ"/>
        </w:rPr>
        <w:t>523</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 A dále bude jeho výše srážky a výplaty záležet na tom, zda dluh, který měl splnit, byl či nebyl tzv. přednostní pohledávkou. Seznam pře</w:t>
      </w:r>
      <w:r>
        <w:rPr>
          <w:rFonts w:ascii="Times New Roman" w:hAnsi="Times New Roman" w:cs="Times New Roman"/>
          <w:color w:val="00000A"/>
          <w:sz w:val="24"/>
          <w:szCs w:val="24"/>
          <w:lang w:eastAsia="cs-CZ"/>
        </w:rPr>
        <w:t>dnostních pohledávek obsahuj</w:t>
      </w:r>
      <w:bookmarkStart w:id="0" w:name="_GoBack"/>
      <w:bookmarkEnd w:id="0"/>
      <w:r>
        <w:rPr>
          <w:rFonts w:ascii="Times New Roman" w:hAnsi="Times New Roman" w:cs="Times New Roman"/>
          <w:color w:val="00000A"/>
          <w:sz w:val="24"/>
          <w:szCs w:val="24"/>
          <w:lang w:eastAsia="cs-CZ"/>
        </w:rPr>
        <w:t>e § 279 odst. 2 </w:t>
      </w:r>
      <w:r w:rsidRPr="00B76100">
        <w:rPr>
          <w:rFonts w:ascii="Times New Roman" w:hAnsi="Times New Roman" w:cs="Times New Roman"/>
          <w:color w:val="00000A"/>
          <w:sz w:val="24"/>
          <w:szCs w:val="24"/>
          <w:lang w:eastAsia="cs-CZ"/>
        </w:rPr>
        <w:t>OSŘ, cituji:</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výživného;</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náhrady újmy způsobené poškozenému ublížením na zdraví;</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náhrady újmy, způsobené úmyslnými trestnými činy;</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daní, poplatků a jiných obdobných peněžitých plnění,</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náhrady přeplatků na dávkách nemocenského pojištění, důchodového pojištění a úrazového pojištění,</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pojistného na sociální zabezpečení a příspěvku na státní politiku zaměstnanosti a pohledávky pojistného na veřejné zdravotní pojištění,</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příspěvek na úhradu potřeb dítěte svěřeného do pěstounské péče,</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náhrady přeplatků na podpoře v nezaměstnanosti a podpoře při rekvalifikaci,</w:t>
      </w:r>
    </w:p>
    <w:p w:rsidR="00B76100" w:rsidRPr="00B76100"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pohledávky náhrady přeplatků na dávkách státní sociální podpory,</w:t>
      </w:r>
    </w:p>
    <w:p w:rsidR="002557C7"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2557C7">
        <w:rPr>
          <w:rFonts w:ascii="Times New Roman" w:hAnsi="Times New Roman" w:cs="Times New Roman"/>
          <w:color w:val="00000A"/>
          <w:sz w:val="24"/>
          <w:szCs w:val="24"/>
          <w:lang w:eastAsia="cs-CZ"/>
        </w:rPr>
        <w:t>pohledávky regresní náhrady podle zákona o nemocenském pojištění,</w:t>
      </w:r>
    </w:p>
    <w:p w:rsidR="00B76100" w:rsidRPr="002557C7" w:rsidRDefault="00B76100" w:rsidP="005C0C87">
      <w:pPr>
        <w:pStyle w:val="Odstavecseseznamem"/>
        <w:widowControl/>
        <w:numPr>
          <w:ilvl w:val="0"/>
          <w:numId w:val="18"/>
        </w:numPr>
        <w:overflowPunct w:val="0"/>
        <w:spacing w:before="480" w:after="100" w:afterAutospacing="1" w:line="240" w:lineRule="auto"/>
        <w:ind w:left="709"/>
        <w:rPr>
          <w:rFonts w:ascii="Times New Roman" w:hAnsi="Times New Roman" w:cs="Times New Roman"/>
          <w:color w:val="00000A"/>
          <w:sz w:val="24"/>
          <w:szCs w:val="24"/>
          <w:lang w:eastAsia="cs-CZ"/>
        </w:rPr>
      </w:pPr>
      <w:r w:rsidRPr="002557C7">
        <w:rPr>
          <w:rFonts w:ascii="Times New Roman" w:hAnsi="Times New Roman" w:cs="Times New Roman"/>
          <w:color w:val="00000A"/>
          <w:sz w:val="24"/>
          <w:szCs w:val="24"/>
          <w:lang w:eastAsia="cs-CZ"/>
        </w:rPr>
        <w:t xml:space="preserve">pohledávky náhrady mzdy, platu nebo odměny a sníženého platu nebo snížené odměny, poskytované v období prvních 14 kalendářních dnů a </w:t>
      </w:r>
      <w:r w:rsidR="002557C7">
        <w:rPr>
          <w:rFonts w:ascii="Times New Roman" w:hAnsi="Times New Roman" w:cs="Times New Roman"/>
          <w:color w:val="00000A"/>
          <w:sz w:val="24"/>
          <w:szCs w:val="24"/>
          <w:lang w:eastAsia="cs-CZ"/>
        </w:rPr>
        <w:t>od 1. </w:t>
      </w:r>
      <w:r w:rsidRPr="002557C7">
        <w:rPr>
          <w:rFonts w:ascii="Times New Roman" w:hAnsi="Times New Roman" w:cs="Times New Roman"/>
          <w:color w:val="00000A"/>
          <w:sz w:val="24"/>
          <w:szCs w:val="24"/>
          <w:lang w:eastAsia="cs-CZ"/>
        </w:rPr>
        <w:t>ledna 2011 do 31.</w:t>
      </w:r>
      <w:r w:rsidR="002557C7">
        <w:rPr>
          <w:rFonts w:ascii="Times New Roman" w:hAnsi="Times New Roman" w:cs="Times New Roman"/>
          <w:color w:val="00000A"/>
          <w:sz w:val="24"/>
          <w:szCs w:val="24"/>
          <w:lang w:eastAsia="cs-CZ"/>
        </w:rPr>
        <w:t> </w:t>
      </w:r>
      <w:r w:rsidRPr="002557C7">
        <w:rPr>
          <w:rFonts w:ascii="Times New Roman" w:hAnsi="Times New Roman" w:cs="Times New Roman"/>
          <w:color w:val="00000A"/>
          <w:sz w:val="24"/>
          <w:szCs w:val="24"/>
          <w:lang w:eastAsia="cs-CZ"/>
        </w:rPr>
        <w:t>prosince 2013 v období prvních 21 kalendářních dnů dočasné pracovní neschopnosti nebo karantény.“</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Protože dluhy našeho povinného, jak jsem je naznačil výše, jsou pohledávkami nepřednostními, budou uspokojovány jen z třetiny vypočtené výše, tedy z část</w:t>
      </w:r>
      <w:r>
        <w:rPr>
          <w:rFonts w:ascii="Times New Roman" w:hAnsi="Times New Roman" w:cs="Times New Roman"/>
          <w:color w:val="00000A"/>
          <w:sz w:val="24"/>
          <w:szCs w:val="24"/>
          <w:lang w:eastAsia="cs-CZ"/>
        </w:rPr>
        <w:t>ky 1.523 Kč. Tedy, z důchodu 11.</w:t>
      </w:r>
      <w:r w:rsidRPr="00B76100">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 bude povinnému</w:t>
      </w:r>
      <w:r>
        <w:rPr>
          <w:rFonts w:ascii="Times New Roman" w:hAnsi="Times New Roman" w:cs="Times New Roman"/>
          <w:color w:val="00000A"/>
          <w:sz w:val="24"/>
          <w:szCs w:val="24"/>
          <w:lang w:eastAsia="cs-CZ"/>
        </w:rPr>
        <w:t xml:space="preserve"> strhávána částka ve výši 1.523 </w:t>
      </w:r>
      <w:r w:rsidRPr="00B76100">
        <w:rPr>
          <w:rFonts w:ascii="Times New Roman" w:hAnsi="Times New Roman" w:cs="Times New Roman"/>
          <w:color w:val="00000A"/>
          <w:sz w:val="24"/>
          <w:szCs w:val="24"/>
          <w:lang w:eastAsia="cs-CZ"/>
        </w:rPr>
        <w:t>Kč, vše ostatní (9</w:t>
      </w:r>
      <w:r>
        <w:rPr>
          <w:rFonts w:ascii="Times New Roman" w:hAnsi="Times New Roman" w:cs="Times New Roman"/>
          <w:color w:val="00000A"/>
          <w:sz w:val="24"/>
          <w:szCs w:val="24"/>
          <w:lang w:eastAsia="cs-CZ"/>
        </w:rPr>
        <w:t>.</w:t>
      </w:r>
      <w:r w:rsidRPr="00B76100">
        <w:rPr>
          <w:rFonts w:ascii="Times New Roman" w:hAnsi="Times New Roman" w:cs="Times New Roman"/>
          <w:color w:val="00000A"/>
          <w:sz w:val="24"/>
          <w:szCs w:val="24"/>
          <w:lang w:eastAsia="cs-CZ"/>
        </w:rPr>
        <w:t>477</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 mu bude vypláceno. Kdyby však náš povinný dlužil např. na výživném, pa</w:t>
      </w:r>
      <w:r>
        <w:rPr>
          <w:rFonts w:ascii="Times New Roman" w:hAnsi="Times New Roman" w:cs="Times New Roman"/>
          <w:color w:val="00000A"/>
          <w:sz w:val="24"/>
          <w:szCs w:val="24"/>
          <w:lang w:eastAsia="cs-CZ"/>
        </w:rPr>
        <w:t>k by mu byla strhávána částka 3.</w:t>
      </w:r>
      <w:r w:rsidRPr="00B76100">
        <w:rPr>
          <w:rFonts w:ascii="Times New Roman" w:hAnsi="Times New Roman" w:cs="Times New Roman"/>
          <w:color w:val="00000A"/>
          <w:sz w:val="24"/>
          <w:szCs w:val="24"/>
          <w:lang w:eastAsia="cs-CZ"/>
        </w:rPr>
        <w:t>046</w:t>
      </w:r>
      <w:r>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Kč.</w:t>
      </w:r>
    </w:p>
    <w:p w:rsidR="00B76100" w:rsidRP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 xml:space="preserve">Říkáte si, že na tom vlastně exekuovaný nebude tak špatně? Těžko říci, já bych v jeho kůži rozhodně být nechtěl; nezapomeňme, že exekutor se může snažit postihnout další majetek, kterého by v průběhu strhávání povinný nabyl, movitý i nemovitý, mzdu od zaměstnavatele, atd. Na druhé straně, nechtěl bych být ani věřitelem tohoto exekuovaného. Vždyť jen získání jistiny dluhu, tedy oněch </w:t>
      </w:r>
      <w:proofErr w:type="spellStart"/>
      <w:r w:rsidRPr="00B76100">
        <w:rPr>
          <w:rFonts w:ascii="Times New Roman" w:hAnsi="Times New Roman" w:cs="Times New Roman"/>
          <w:color w:val="00000A"/>
          <w:sz w:val="24"/>
          <w:szCs w:val="24"/>
          <w:lang w:eastAsia="cs-CZ"/>
        </w:rPr>
        <w:t>dvouset</w:t>
      </w:r>
      <w:proofErr w:type="spellEnd"/>
      <w:r w:rsidRPr="00B76100">
        <w:rPr>
          <w:rFonts w:ascii="Times New Roman" w:hAnsi="Times New Roman" w:cs="Times New Roman"/>
          <w:color w:val="00000A"/>
          <w:sz w:val="24"/>
          <w:szCs w:val="24"/>
          <w:lang w:eastAsia="cs-CZ"/>
        </w:rPr>
        <w:t xml:space="preserve"> tisíc by mu při takovýchto srážkách trvalo téměř 11 let, a to bez započítání příslušenství dluhu, nákladů exekutora (ty se ovšem pokrývají přednostně a</w:t>
      </w:r>
      <w:r w:rsidR="0027453E">
        <w:rPr>
          <w:rFonts w:ascii="Times New Roman" w:hAnsi="Times New Roman" w:cs="Times New Roman"/>
          <w:color w:val="00000A"/>
          <w:sz w:val="24"/>
          <w:szCs w:val="24"/>
          <w:lang w:eastAsia="cs-CZ"/>
        </w:rPr>
        <w:t> </w:t>
      </w:r>
      <w:r w:rsidRPr="00B76100">
        <w:rPr>
          <w:rFonts w:ascii="Times New Roman" w:hAnsi="Times New Roman" w:cs="Times New Roman"/>
          <w:color w:val="00000A"/>
          <w:sz w:val="24"/>
          <w:szCs w:val="24"/>
          <w:lang w:eastAsia="cs-CZ"/>
        </w:rPr>
        <w:t>eventuálních dalších nákladů samotného věřitele).</w:t>
      </w:r>
    </w:p>
    <w:p w:rsidR="00B76100" w:rsidRDefault="00B76100" w:rsidP="00B76100">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B76100">
        <w:rPr>
          <w:rFonts w:ascii="Times New Roman" w:hAnsi="Times New Roman" w:cs="Times New Roman"/>
          <w:color w:val="00000A"/>
          <w:sz w:val="24"/>
          <w:szCs w:val="24"/>
          <w:lang w:eastAsia="cs-CZ"/>
        </w:rPr>
        <w:t>Závěrem tedy nám všem držím palce, abychom zvládli všechny po právu vzniklé pohledávky uhradit včas a vymáhání ať již formou exekuce či výkonu soudního rozhodnutí tak předešli.</w:t>
      </w:r>
    </w:p>
    <w:p w:rsidR="00E557E9" w:rsidRPr="00E53F2F" w:rsidRDefault="00E54BBA" w:rsidP="00E53F2F">
      <w:pPr>
        <w:widowControl/>
        <w:tabs>
          <w:tab w:val="right" w:pos="9072"/>
        </w:tabs>
        <w:overflowPunct w:val="0"/>
        <w:spacing w:before="840" w:after="100" w:afterAutospacing="1" w:line="240" w:lineRule="auto"/>
        <w:ind w:firstLine="0"/>
        <w:rPr>
          <w:rFonts w:ascii="Times New Roman" w:hAnsi="Times New Roman" w:cs="Times New Roman"/>
        </w:rPr>
      </w:pPr>
      <w:r w:rsidRPr="00E53F2F">
        <w:rPr>
          <w:rFonts w:ascii="Times New Roman" w:hAnsi="Times New Roman" w:cs="Times New Roman"/>
          <w:color w:val="00000A"/>
          <w:sz w:val="24"/>
          <w:szCs w:val="24"/>
          <w:lang w:eastAsia="cs-CZ"/>
        </w:rPr>
        <w:t>Za Sociálně právní poradnu SONS v</w:t>
      </w:r>
      <w:r w:rsidR="000153BD" w:rsidRP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Praze</w:t>
      </w:r>
      <w:r w:rsidR="000153BD" w:rsidRPr="00E53F2F">
        <w:rPr>
          <w:rFonts w:ascii="Times New Roman" w:hAnsi="Times New Roman" w:cs="Times New Roman"/>
          <w:color w:val="00000A"/>
          <w:sz w:val="24"/>
          <w:szCs w:val="24"/>
          <w:lang w:eastAsia="cs-CZ"/>
        </w:rPr>
        <w:tab/>
      </w:r>
      <w:r w:rsidR="00CE5475" w:rsidRPr="00E53F2F">
        <w:rPr>
          <w:rFonts w:ascii="Times New Roman" w:hAnsi="Times New Roman" w:cs="Times New Roman"/>
          <w:b/>
          <w:i/>
          <w:color w:val="00000A"/>
          <w:sz w:val="24"/>
          <w:szCs w:val="24"/>
          <w:lang w:eastAsia="cs-CZ"/>
        </w:rPr>
        <w:t>Luboš Zajíc</w:t>
      </w:r>
    </w:p>
    <w:sectPr w:rsidR="00E557E9" w:rsidRPr="00E53F2F"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multilevel"/>
    <w:tmpl w:val="9BA81BF6"/>
    <w:lvl w:ilvl="0">
      <w:start w:val="1"/>
      <w:numFmt w:val="lowerLetter"/>
      <w:lvlText w:val="%1)"/>
      <w:lvlJc w:val="left"/>
      <w:pPr>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38D0C94"/>
    <w:multiLevelType w:val="multilevel"/>
    <w:tmpl w:val="85C2CF1A"/>
    <w:lvl w:ilvl="0">
      <w:start w:val="1"/>
      <w:numFmt w:val="lowerLetter"/>
      <w:lvlText w:val="%1)"/>
      <w:lvlJc w:val="left"/>
      <w:pPr>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4"/>
  </w:num>
  <w:num w:numId="6">
    <w:abstractNumId w:val="2"/>
  </w:num>
  <w:num w:numId="7">
    <w:abstractNumId w:val="7"/>
  </w:num>
  <w:num w:numId="8">
    <w:abstractNumId w:val="17"/>
  </w:num>
  <w:num w:numId="9">
    <w:abstractNumId w:val="9"/>
  </w:num>
  <w:num w:numId="10">
    <w:abstractNumId w:val="4"/>
  </w:num>
  <w:num w:numId="11">
    <w:abstractNumId w:val="6"/>
  </w:num>
  <w:num w:numId="12">
    <w:abstractNumId w:val="5"/>
  </w:num>
  <w:num w:numId="13">
    <w:abstractNumId w:val="1"/>
  </w:num>
  <w:num w:numId="14">
    <w:abstractNumId w:val="16"/>
  </w:num>
  <w:num w:numId="15">
    <w:abstractNumId w:val="11"/>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2557C7"/>
    <w:rsid w:val="0027453E"/>
    <w:rsid w:val="0028284A"/>
    <w:rsid w:val="002E5472"/>
    <w:rsid w:val="00373FF0"/>
    <w:rsid w:val="003F23F2"/>
    <w:rsid w:val="00457DF9"/>
    <w:rsid w:val="0048651A"/>
    <w:rsid w:val="0049445D"/>
    <w:rsid w:val="004D1C77"/>
    <w:rsid w:val="004D2192"/>
    <w:rsid w:val="004D74FA"/>
    <w:rsid w:val="004F2A6C"/>
    <w:rsid w:val="00520303"/>
    <w:rsid w:val="005546C1"/>
    <w:rsid w:val="005C0C87"/>
    <w:rsid w:val="005C2C1E"/>
    <w:rsid w:val="005F17F8"/>
    <w:rsid w:val="00623CF4"/>
    <w:rsid w:val="0069006D"/>
    <w:rsid w:val="006C0F0E"/>
    <w:rsid w:val="006C385A"/>
    <w:rsid w:val="006E5F7C"/>
    <w:rsid w:val="0071291E"/>
    <w:rsid w:val="0072554B"/>
    <w:rsid w:val="00753FF9"/>
    <w:rsid w:val="00754FE6"/>
    <w:rsid w:val="00791A90"/>
    <w:rsid w:val="007949F0"/>
    <w:rsid w:val="007968FA"/>
    <w:rsid w:val="007D367D"/>
    <w:rsid w:val="00805E2D"/>
    <w:rsid w:val="00865F2A"/>
    <w:rsid w:val="00883957"/>
    <w:rsid w:val="008B0567"/>
    <w:rsid w:val="0094210C"/>
    <w:rsid w:val="00960C57"/>
    <w:rsid w:val="009F0739"/>
    <w:rsid w:val="00AC5736"/>
    <w:rsid w:val="00B76100"/>
    <w:rsid w:val="00BD6FB6"/>
    <w:rsid w:val="00C27805"/>
    <w:rsid w:val="00C83A0F"/>
    <w:rsid w:val="00CB5127"/>
    <w:rsid w:val="00CC21B3"/>
    <w:rsid w:val="00CE5475"/>
    <w:rsid w:val="00D40C12"/>
    <w:rsid w:val="00E06244"/>
    <w:rsid w:val="00E20FB3"/>
    <w:rsid w:val="00E25085"/>
    <w:rsid w:val="00E3673B"/>
    <w:rsid w:val="00E53F2F"/>
    <w:rsid w:val="00E54BBA"/>
    <w:rsid w:val="00E557E9"/>
    <w:rsid w:val="00EF50C9"/>
    <w:rsid w:val="00F076C8"/>
    <w:rsid w:val="00F81F3F"/>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7147-57FF-4992-A78F-5DC09A1D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1187</Words>
  <Characters>7004</Characters>
  <Application>Microsoft Office Word</Application>
  <DocSecurity>0</DocSecurity>
  <Lines>58</Lines>
  <Paragraphs>16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Informace a odpovědi na dotazy ze Sociálně právní poradny SONS v Praze 09/2019</vt:lpstr>
    </vt:vector>
  </TitlesOfParts>
  <Company>Hewlett-Packard Company</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8</cp:revision>
  <dcterms:created xsi:type="dcterms:W3CDTF">2020-04-20T13:53:00Z</dcterms:created>
  <dcterms:modified xsi:type="dcterms:W3CDTF">2020-04-27T11:46:00Z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